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D7C12" w14:textId="5BF31E59" w:rsidR="005579F0" w:rsidRPr="007256A0" w:rsidRDefault="007256A0" w:rsidP="005579F0">
      <w:r>
        <w:rPr>
          <w:rFonts w:ascii="Charter Bd BT" w:hAnsi="Charter Bd BT"/>
          <w:sz w:val="28"/>
          <w:szCs w:val="28"/>
        </w:rPr>
        <w:t>U.S.</w:t>
      </w:r>
      <w:r w:rsidR="00C41028">
        <w:rPr>
          <w:rFonts w:ascii="Charter Bd BT" w:hAnsi="Charter Bd BT"/>
          <w:sz w:val="28"/>
          <w:szCs w:val="28"/>
        </w:rPr>
        <w:t xml:space="preserve"> v.</w:t>
      </w:r>
      <w:r>
        <w:rPr>
          <w:rFonts w:ascii="Charter Bd BT" w:hAnsi="Charter Bd BT"/>
          <w:sz w:val="28"/>
          <w:szCs w:val="28"/>
        </w:rPr>
        <w:t xml:space="preserve"> Weaver </w:t>
      </w:r>
      <w:r>
        <w:rPr>
          <w:rFonts w:ascii="Charter Bd BT" w:hAnsi="Charter Bd BT"/>
          <w:sz w:val="28"/>
          <w:szCs w:val="28"/>
        </w:rPr>
        <w:br/>
      </w:r>
      <w:r w:rsidRPr="007256A0">
        <w:t>(2nd Cir. 2020) __ F.3d __ [2020 WL 5523210]</w:t>
      </w:r>
    </w:p>
    <w:p w14:paraId="291D84AC" w14:textId="77777777" w:rsidR="007F1264" w:rsidRDefault="005579F0" w:rsidP="007F1264">
      <w:pPr>
        <w:spacing w:before="120"/>
        <w:rPr>
          <w:rFonts w:ascii="Charter Bd BT" w:hAnsi="Charter Bd BT"/>
          <w:sz w:val="28"/>
          <w:szCs w:val="28"/>
        </w:rPr>
      </w:pPr>
      <w:r w:rsidRPr="001E18C6">
        <w:rPr>
          <w:rFonts w:ascii="Charter Bd BT" w:hAnsi="Charter Bd BT"/>
          <w:sz w:val="28"/>
          <w:szCs w:val="28"/>
        </w:rPr>
        <w:t>Issue</w:t>
      </w:r>
      <w:bookmarkStart w:id="0" w:name="_GoBack"/>
      <w:bookmarkEnd w:id="0"/>
    </w:p>
    <w:p w14:paraId="6C7794EC" w14:textId="3EA84C7B" w:rsidR="007F1264" w:rsidRPr="007F1264" w:rsidRDefault="007F1264" w:rsidP="007F1264">
      <w:pPr>
        <w:ind w:firstLine="360"/>
        <w:rPr>
          <w:rFonts w:ascii="Charter Bd BT" w:hAnsi="Charter Bd BT"/>
          <w:sz w:val="28"/>
          <w:szCs w:val="28"/>
        </w:rPr>
      </w:pPr>
      <w:r>
        <w:t>If a detainee attempts</w:t>
      </w:r>
      <w:r w:rsidR="00A84449">
        <w:t xml:space="preserve"> </w:t>
      </w:r>
      <w:r>
        <w:t xml:space="preserve">to hide something down his pants, is it </w:t>
      </w:r>
      <w:r w:rsidR="00B56F21">
        <w:t>un</w:t>
      </w:r>
      <w:r>
        <w:t>reasonable</w:t>
      </w:r>
      <w:r w:rsidR="00F364D5">
        <w:t xml:space="preserve"> for officers</w:t>
      </w:r>
      <w:r>
        <w:t xml:space="preserve"> to believe </w:t>
      </w:r>
      <w:r w:rsidR="00B56F21">
        <w:t xml:space="preserve">that </w:t>
      </w:r>
      <w:r>
        <w:t xml:space="preserve">he </w:t>
      </w:r>
      <w:r w:rsidR="00A84449">
        <w:t>might be</w:t>
      </w:r>
      <w:r>
        <w:t xml:space="preserve"> trying to hide a firearm? </w:t>
      </w:r>
    </w:p>
    <w:p w14:paraId="429904CA" w14:textId="5CAB9D96" w:rsidR="005579F0" w:rsidRPr="001E18C6" w:rsidRDefault="005579F0" w:rsidP="005579F0">
      <w:pPr>
        <w:spacing w:before="180"/>
        <w:rPr>
          <w:rFonts w:ascii="Charter Bd BT" w:hAnsi="Charter Bd BT"/>
          <w:sz w:val="28"/>
          <w:szCs w:val="28"/>
        </w:rPr>
      </w:pPr>
      <w:r w:rsidRPr="001E18C6">
        <w:rPr>
          <w:rFonts w:ascii="Charter Bd BT" w:hAnsi="Charter Bd BT"/>
          <w:sz w:val="28"/>
          <w:szCs w:val="28"/>
        </w:rPr>
        <w:t>Facts</w:t>
      </w:r>
    </w:p>
    <w:p w14:paraId="03599852" w14:textId="659578C6" w:rsidR="00CA1C60" w:rsidRDefault="007256A0" w:rsidP="00C41028">
      <w:r>
        <w:tab/>
        <w:t xml:space="preserve">At about 5 </w:t>
      </w:r>
      <w:r w:rsidRPr="007256A0">
        <w:rPr>
          <w:smallCaps/>
        </w:rPr>
        <w:t>p.m</w:t>
      </w:r>
      <w:r>
        <w:t xml:space="preserve">., two officers with the Syracuse Police Department in New York stopped a vehicle </w:t>
      </w:r>
      <w:r w:rsidR="009C5FEF">
        <w:t xml:space="preserve">for a minor </w:t>
      </w:r>
      <w:r w:rsidR="007F1264">
        <w:t xml:space="preserve">traffic </w:t>
      </w:r>
      <w:r w:rsidR="00F364D5">
        <w:t>violation</w:t>
      </w:r>
      <w:r w:rsidR="009C5FEF">
        <w:t>.</w:t>
      </w:r>
      <w:r>
        <w:t xml:space="preserve"> The stop occurred in an area where </w:t>
      </w:r>
      <w:r w:rsidR="007F1264">
        <w:t xml:space="preserve">there is a </w:t>
      </w:r>
      <w:r>
        <w:t>“typically high volume of shots fired and gun-related crime</w:t>
      </w:r>
      <w:r w:rsidR="007F1264">
        <w:t>”</w:t>
      </w:r>
      <w:r>
        <w:t xml:space="preserve"> </w:t>
      </w:r>
      <w:r w:rsidR="002262E7">
        <w:t xml:space="preserve">including </w:t>
      </w:r>
      <w:r w:rsidR="007F1264">
        <w:t>“</w:t>
      </w:r>
      <w:r>
        <w:t xml:space="preserve">multiple homicides.” As the car came to a stop, </w:t>
      </w:r>
      <w:r w:rsidR="009C5FEF">
        <w:t xml:space="preserve">a passenger </w:t>
      </w:r>
      <w:r w:rsidR="00F41E44">
        <w:t>sitting</w:t>
      </w:r>
      <w:r w:rsidR="00091223">
        <w:t xml:space="preserve"> </w:t>
      </w:r>
      <w:r w:rsidR="009C5FEF">
        <w:t xml:space="preserve">in the </w:t>
      </w:r>
      <w:r w:rsidR="009F7113">
        <w:t>back</w:t>
      </w:r>
      <w:r w:rsidR="009C5FEF">
        <w:t xml:space="preserve"> seat </w:t>
      </w:r>
      <w:r w:rsidR="00D14630">
        <w:t xml:space="preserve">on the driver’s side </w:t>
      </w:r>
      <w:r w:rsidR="009C5FEF">
        <w:t>suddenly opened the door</w:t>
      </w:r>
      <w:r w:rsidR="00091223">
        <w:t xml:space="preserve"> into traffic</w:t>
      </w:r>
      <w:r w:rsidR="009C5FEF">
        <w:t xml:space="preserve"> as if he </w:t>
      </w:r>
      <w:r w:rsidR="003C5EFB">
        <w:t>“was about to flee from the vehicle.”</w:t>
      </w:r>
      <w:r w:rsidR="00CA1C60">
        <w:t xml:space="preserve"> </w:t>
      </w:r>
      <w:r w:rsidR="002F3EE3">
        <w:t>One of the officers</w:t>
      </w:r>
      <w:r w:rsidR="00CA1C60">
        <w:t xml:space="preserve"> ordered him to stay inside and he complied. </w:t>
      </w:r>
    </w:p>
    <w:p w14:paraId="1F353A96" w14:textId="77777777" w:rsidR="007F1264" w:rsidRDefault="00CA1C60" w:rsidP="00C41028">
      <w:r>
        <w:tab/>
        <w:t>As the officer approached the driver</w:t>
      </w:r>
      <w:r w:rsidR="003C5EFB">
        <w:t>’s side window</w:t>
      </w:r>
      <w:r>
        <w:t xml:space="preserve">, he </w:t>
      </w:r>
      <w:r w:rsidR="009F7113">
        <w:t>noticed</w:t>
      </w:r>
      <w:r>
        <w:t xml:space="preserve"> that the front-seat passenger</w:t>
      </w:r>
      <w:r w:rsidR="00C52284">
        <w:t>—</w:t>
      </w:r>
      <w:r w:rsidR="002F3EE3">
        <w:t xml:space="preserve">later identified as </w:t>
      </w:r>
      <w:r w:rsidR="00C52284">
        <w:t>Calvin Weaver—</w:t>
      </w:r>
      <w:r w:rsidR="009C5FEF">
        <w:t xml:space="preserve">was </w:t>
      </w:r>
      <w:r w:rsidR="00C52284">
        <w:t>“</w:t>
      </w:r>
      <w:r>
        <w:t xml:space="preserve">slouched down </w:t>
      </w:r>
      <w:r w:rsidR="009C5FEF">
        <w:t xml:space="preserve">[and] </w:t>
      </w:r>
      <w:r>
        <w:t>pushing down his pelvic area a</w:t>
      </w:r>
      <w:r w:rsidR="009C5FEF">
        <w:t>nd kind of squirming in his seat</w:t>
      </w:r>
      <w:r w:rsidR="007F1264">
        <w:t>.</w:t>
      </w:r>
      <w:r>
        <w:t>”</w:t>
      </w:r>
      <w:r w:rsidR="007F1264">
        <w:t xml:space="preserve"> </w:t>
      </w:r>
      <w:r w:rsidR="002262E7">
        <w:t>Weaver</w:t>
      </w:r>
      <w:r w:rsidR="009C5FEF">
        <w:t xml:space="preserve"> was also usin</w:t>
      </w:r>
      <w:r>
        <w:t xml:space="preserve">g both hands in a “downward motion, trying to push something down.” </w:t>
      </w:r>
      <w:r w:rsidR="002F3EE3">
        <w:t>For these reasons, the</w:t>
      </w:r>
      <w:r w:rsidR="00C52284">
        <w:t xml:space="preserve"> officer </w:t>
      </w:r>
      <w:r w:rsidR="002F3EE3">
        <w:t>ordered him to step outside,</w:t>
      </w:r>
      <w:r w:rsidR="006763D5">
        <w:t xml:space="preserve"> put both hands on the trunk</w:t>
      </w:r>
      <w:r w:rsidR="00C52284">
        <w:t>,</w:t>
      </w:r>
      <w:r w:rsidR="006763D5">
        <w:t xml:space="preserve"> and spread his legs.</w:t>
      </w:r>
      <w:r w:rsidR="00C52284">
        <w:t xml:space="preserve"> </w:t>
      </w:r>
    </w:p>
    <w:p w14:paraId="58155A31" w14:textId="7D233015" w:rsidR="004367CB" w:rsidRDefault="002F3EE3" w:rsidP="004367CB">
      <w:pPr>
        <w:ind w:firstLine="360"/>
      </w:pPr>
      <w:r>
        <w:t xml:space="preserve">Although </w:t>
      </w:r>
      <w:r w:rsidR="009C5FEF">
        <w:t>Weaver</w:t>
      </w:r>
      <w:r w:rsidR="00DA0D25">
        <w:t xml:space="preserve"> </w:t>
      </w:r>
      <w:r w:rsidR="003C5EFB">
        <w:t>briefly</w:t>
      </w:r>
      <w:r w:rsidR="00DA0D25">
        <w:t xml:space="preserve"> complied, he “immediately stepped forward and pressed his pelvic area against the quarter panel or the vehicle,” </w:t>
      </w:r>
      <w:r w:rsidR="0032379D">
        <w:t>so it became</w:t>
      </w:r>
      <w:r w:rsidR="00DA0D25">
        <w:t xml:space="preserve"> impossible for the officer to </w:t>
      </w:r>
      <w:r w:rsidR="00F41E44">
        <w:t>determine</w:t>
      </w:r>
      <w:r w:rsidR="00226EFC">
        <w:t xml:space="preserve"> what Weaver had been hiding under his clothing</w:t>
      </w:r>
      <w:r>
        <w:t xml:space="preserve">. </w:t>
      </w:r>
      <w:r w:rsidR="003C5EFB">
        <w:t xml:space="preserve">When </w:t>
      </w:r>
      <w:r w:rsidR="001A5085">
        <w:t xml:space="preserve">the officer ordered </w:t>
      </w:r>
      <w:r w:rsidR="009F7113">
        <w:t>him</w:t>
      </w:r>
      <w:r w:rsidR="001A5085">
        <w:t xml:space="preserve"> to step back</w:t>
      </w:r>
      <w:r>
        <w:t xml:space="preserve"> from the car</w:t>
      </w:r>
      <w:r w:rsidR="003C5EFB">
        <w:t xml:space="preserve">, he again </w:t>
      </w:r>
      <w:r w:rsidR="00F82C91">
        <w:t xml:space="preserve">briefly complied but, as before, </w:t>
      </w:r>
      <w:r w:rsidR="00226EFC">
        <w:t xml:space="preserve">immediately </w:t>
      </w:r>
      <w:r w:rsidR="003C5EFB">
        <w:t>pressed his body into the car.</w:t>
      </w:r>
      <w:r w:rsidR="009F7113">
        <w:t xml:space="preserve"> </w:t>
      </w:r>
      <w:r w:rsidR="00091223">
        <w:t>Having run out of patience</w:t>
      </w:r>
      <w:r>
        <w:t>, t</w:t>
      </w:r>
      <w:r w:rsidR="001A5085">
        <w:t>he officer handcuffed Weaver,</w:t>
      </w:r>
      <w:r w:rsidR="008926DF">
        <w:t xml:space="preserve"> </w:t>
      </w:r>
      <w:r>
        <w:t>patsearched him</w:t>
      </w:r>
      <w:r w:rsidR="008926DF">
        <w:t xml:space="preserve"> and </w:t>
      </w:r>
      <w:r>
        <w:t>discovered</w:t>
      </w:r>
      <w:r w:rsidR="008926DF">
        <w:t xml:space="preserve"> a </w:t>
      </w:r>
      <w:r w:rsidR="004367CB">
        <w:t>“fully loaded semiautomatic handgun with a detachable magazine locked into place, ready for use.”</w:t>
      </w:r>
    </w:p>
    <w:p w14:paraId="4631F180" w14:textId="1D96994B" w:rsidR="005579F0" w:rsidRDefault="008926DF" w:rsidP="00C41028">
      <w:r>
        <w:tab/>
        <w:t xml:space="preserve">When Weaver’s motion to suppress the </w:t>
      </w:r>
      <w:r w:rsidR="00D14630">
        <w:t>weapon</w:t>
      </w:r>
      <w:r>
        <w:t xml:space="preserve"> was denied, he pled guilty to possession of a firearm by a felon.</w:t>
      </w:r>
      <w:r w:rsidR="002262E7">
        <w:t xml:space="preserve"> He appealed the denial of his suppression motion to the Second Circuit. </w:t>
      </w:r>
      <w:r>
        <w:t xml:space="preserve"> </w:t>
      </w:r>
      <w:r w:rsidR="005579F0">
        <w:tab/>
      </w:r>
    </w:p>
    <w:p w14:paraId="050AA454" w14:textId="77777777" w:rsidR="005579F0" w:rsidRPr="00780C0B" w:rsidRDefault="005579F0" w:rsidP="005579F0">
      <w:pPr>
        <w:spacing w:before="240"/>
        <w:rPr>
          <w:rFonts w:ascii="Charter Bd BT" w:hAnsi="Charter Bd BT"/>
          <w:sz w:val="28"/>
          <w:szCs w:val="28"/>
        </w:rPr>
      </w:pPr>
      <w:r w:rsidRPr="00780C0B">
        <w:rPr>
          <w:rFonts w:ascii="Charter Bd BT" w:hAnsi="Charter Bd BT"/>
          <w:sz w:val="28"/>
          <w:szCs w:val="28"/>
        </w:rPr>
        <w:t>Discussion</w:t>
      </w:r>
    </w:p>
    <w:p w14:paraId="17AB4999" w14:textId="73F71A4A" w:rsidR="00F82C91" w:rsidRDefault="005B1C59" w:rsidP="0031078D">
      <w:r>
        <w:rPr>
          <w:sz w:val="26"/>
          <w:szCs w:val="26"/>
        </w:rPr>
        <w:tab/>
      </w:r>
      <w:r w:rsidR="008926DF">
        <w:t>Weaver argued that the</w:t>
      </w:r>
      <w:r w:rsidR="000735C6">
        <w:t xml:space="preserve"> firearm should have been suppressed </w:t>
      </w:r>
      <w:r w:rsidR="008926DF">
        <w:t xml:space="preserve">because </w:t>
      </w:r>
      <w:r w:rsidR="00947178">
        <w:t>his suspicious conduct did not provide the officer with grounds to conduct a pat search.</w:t>
      </w:r>
      <w:r w:rsidR="00B80DFA">
        <w:t xml:space="preserve"> </w:t>
      </w:r>
      <w:r w:rsidR="002F3EE3">
        <w:t>In a</w:t>
      </w:r>
      <w:r w:rsidR="0011420D">
        <w:t xml:space="preserve"> split decision, two of the three judges on </w:t>
      </w:r>
      <w:r w:rsidR="00F41E44">
        <w:t>the</w:t>
      </w:r>
      <w:r w:rsidR="0011420D">
        <w:t xml:space="preserve"> panel </w:t>
      </w:r>
      <w:r w:rsidR="00D14630">
        <w:t>agreed.</w:t>
      </w:r>
      <w:r w:rsidR="00E70159">
        <w:t xml:space="preserve"> </w:t>
      </w:r>
      <w:r w:rsidR="00D14630">
        <w:t xml:space="preserve">As we will explain, </w:t>
      </w:r>
      <w:r w:rsidR="003C5EFB">
        <w:t xml:space="preserve">the judges were able </w:t>
      </w:r>
      <w:r w:rsidR="00D14630">
        <w:t>t</w:t>
      </w:r>
      <w:r w:rsidR="00D43D12">
        <w:t>o reach this conclusion</w:t>
      </w:r>
      <w:r w:rsidR="003C5EFB">
        <w:t xml:space="preserve"> by ignoring </w:t>
      </w:r>
      <w:r w:rsidR="0032379D">
        <w:t>the applicable law</w:t>
      </w:r>
      <w:r w:rsidR="003C5EFB">
        <w:t xml:space="preserve"> and </w:t>
      </w:r>
      <w:r w:rsidR="00AC47E0">
        <w:t xml:space="preserve">disregarding </w:t>
      </w:r>
      <w:r w:rsidR="003C5EFB">
        <w:t xml:space="preserve">the realities of </w:t>
      </w:r>
      <w:r w:rsidR="00AC47E0">
        <w:t xml:space="preserve">everyday </w:t>
      </w:r>
      <w:r w:rsidR="00F82C91">
        <w:t>life on the streets.</w:t>
      </w:r>
    </w:p>
    <w:p w14:paraId="6150C350" w14:textId="63F57861" w:rsidR="00930A40" w:rsidRDefault="00D43D12" w:rsidP="004C429F">
      <w:r>
        <w:tab/>
      </w:r>
      <w:r w:rsidR="00CA57BF">
        <w:rPr>
          <w:rFonts w:ascii="Charter Bd BT" w:hAnsi="Charter Bd BT"/>
          <w:smallCaps/>
        </w:rPr>
        <w:t xml:space="preserve">Don’t </w:t>
      </w:r>
      <w:r w:rsidR="00882FAF">
        <w:rPr>
          <w:rFonts w:ascii="Charter Bd BT" w:hAnsi="Charter Bd BT"/>
          <w:smallCaps/>
        </w:rPr>
        <w:t>worry</w:t>
      </w:r>
      <w:r w:rsidR="00E26F42">
        <w:rPr>
          <w:rFonts w:ascii="Charter Bd BT" w:hAnsi="Charter Bd BT"/>
          <w:smallCaps/>
        </w:rPr>
        <w:t xml:space="preserve"> when a detainee hide</w:t>
      </w:r>
      <w:r w:rsidR="006278FD">
        <w:rPr>
          <w:rFonts w:ascii="Charter Bd BT" w:hAnsi="Charter Bd BT"/>
          <w:smallCaps/>
        </w:rPr>
        <w:t>s</w:t>
      </w:r>
      <w:r w:rsidR="00E26F42">
        <w:rPr>
          <w:rFonts w:ascii="Charter Bd BT" w:hAnsi="Charter Bd BT"/>
          <w:smallCaps/>
        </w:rPr>
        <w:t xml:space="preserve"> </w:t>
      </w:r>
      <w:r w:rsidR="0089182B">
        <w:rPr>
          <w:rFonts w:ascii="Charter Bd BT" w:hAnsi="Charter Bd BT"/>
          <w:smallCaps/>
        </w:rPr>
        <w:t>an unknown object</w:t>
      </w:r>
      <w:r w:rsidR="00E26F42">
        <w:rPr>
          <w:rFonts w:ascii="Charter Bd BT" w:hAnsi="Charter Bd BT"/>
          <w:smallCaps/>
        </w:rPr>
        <w:t>:</w:t>
      </w:r>
      <w:r>
        <w:t xml:space="preserve"> </w:t>
      </w:r>
      <w:r w:rsidR="00882FAF">
        <w:t xml:space="preserve">Although the </w:t>
      </w:r>
      <w:r w:rsidR="00227015">
        <w:t>judges</w:t>
      </w:r>
      <w:r w:rsidR="00882FAF">
        <w:t xml:space="preserve"> acknowledged</w:t>
      </w:r>
      <w:r w:rsidR="008A686E">
        <w:t xml:space="preserve"> that “[w]e have no doubt</w:t>
      </w:r>
      <w:r w:rsidR="008A416C">
        <w:t xml:space="preserve"> that [the officer] reasonably suspected that Weaver was hiding </w:t>
      </w:r>
      <w:r w:rsidR="008A416C" w:rsidRPr="008A416C">
        <w:rPr>
          <w:i/>
        </w:rPr>
        <w:t>something</w:t>
      </w:r>
      <w:r w:rsidR="008A416C">
        <w:t xml:space="preserve"> based on his downward motion and wiggling</w:t>
      </w:r>
      <w:r w:rsidR="00882FAF">
        <w:t>,</w:t>
      </w:r>
      <w:r w:rsidR="008A416C">
        <w:t>”</w:t>
      </w:r>
      <w:r w:rsidR="00882FAF">
        <w:t xml:space="preserve"> </w:t>
      </w:r>
      <w:r w:rsidR="00F82C91">
        <w:t>they</w:t>
      </w:r>
      <w:r w:rsidR="00E26F42">
        <w:t xml:space="preserve"> ruled </w:t>
      </w:r>
      <w:r w:rsidR="00227015">
        <w:t xml:space="preserve">that this did not </w:t>
      </w:r>
      <w:r w:rsidR="00F41E44">
        <w:t>justify</w:t>
      </w:r>
      <w:r w:rsidR="00227015">
        <w:t xml:space="preserve"> a pat search</w:t>
      </w:r>
      <w:r w:rsidR="003B23A9">
        <w:t xml:space="preserve"> because</w:t>
      </w:r>
      <w:r w:rsidR="00EE35A4">
        <w:t xml:space="preserve"> “there are no specific or articulable facts that Weaver was hiding something </w:t>
      </w:r>
      <w:r w:rsidR="00EE35A4" w:rsidRPr="008A416C">
        <w:rPr>
          <w:i/>
        </w:rPr>
        <w:t>dangerous</w:t>
      </w:r>
      <w:r w:rsidR="00EE35A4">
        <w:t xml:space="preserve">.” </w:t>
      </w:r>
      <w:r w:rsidR="00A64F0B">
        <w:t xml:space="preserve">Elsewhere they said, </w:t>
      </w:r>
      <w:r w:rsidR="00AC47E0">
        <w:t>“</w:t>
      </w:r>
      <w:r w:rsidR="00975347">
        <w:t>I</w:t>
      </w:r>
      <w:r w:rsidR="008A686E">
        <w:t xml:space="preserve">t is not enough </w:t>
      </w:r>
      <w:r w:rsidR="00A230F6">
        <w:t>that officers rely on a suspicion that a suspect was hiding something, even if that something is contraband</w:t>
      </w:r>
      <w:r w:rsidR="00AC47E0">
        <w:t>,</w:t>
      </w:r>
      <w:r w:rsidR="00A230F6">
        <w:t xml:space="preserve"> like drugs.”</w:t>
      </w:r>
      <w:r w:rsidR="00091223">
        <w:t xml:space="preserve"> </w:t>
      </w:r>
    </w:p>
    <w:p w14:paraId="4E2D457B" w14:textId="6D4A1849" w:rsidR="00026726" w:rsidRDefault="00930A40" w:rsidP="00321C88">
      <w:r>
        <w:tab/>
      </w:r>
      <w:r w:rsidR="00996721">
        <w:t xml:space="preserve">Let this sink in: According to these judges, when officers see a detainee </w:t>
      </w:r>
      <w:r w:rsidR="00C55000">
        <w:t xml:space="preserve">furtively or </w:t>
      </w:r>
      <w:r w:rsidR="00412450">
        <w:t xml:space="preserve">desperately </w:t>
      </w:r>
      <w:r w:rsidR="00996721">
        <w:t xml:space="preserve">trying to hide an unknown object under his clothing, the law requires that they ignore the possibility that the object </w:t>
      </w:r>
      <w:r w:rsidR="00412450">
        <w:t>was</w:t>
      </w:r>
      <w:r w:rsidR="00996721">
        <w:t xml:space="preserve"> a dangerous weapon. </w:t>
      </w:r>
      <w:r w:rsidR="0016537E">
        <w:t>Don’t laugh. These people</w:t>
      </w:r>
      <w:r w:rsidR="00C600DF">
        <w:t xml:space="preserve"> appear to be</w:t>
      </w:r>
      <w:r w:rsidR="0016537E">
        <w:t xml:space="preserve"> serious.</w:t>
      </w:r>
      <w:r w:rsidR="00F41E44">
        <w:t xml:space="preserve"> </w:t>
      </w:r>
      <w:r w:rsidR="00FC0A14">
        <w:t xml:space="preserve">Meanwhile, </w:t>
      </w:r>
      <w:r w:rsidR="00026726">
        <w:t xml:space="preserve">the Ninth </w:t>
      </w:r>
      <w:r w:rsidR="00F27CAF">
        <w:t xml:space="preserve">Circuit </w:t>
      </w:r>
      <w:r w:rsidR="005F1FAD">
        <w:t xml:space="preserve">recently </w:t>
      </w:r>
      <w:r w:rsidR="00026726">
        <w:t xml:space="preserve">rejected </w:t>
      </w:r>
      <w:r w:rsidR="00F27CAF">
        <w:t>this precise</w:t>
      </w:r>
      <w:r w:rsidR="00026726">
        <w:t xml:space="preserve"> argument in </w:t>
      </w:r>
      <w:r w:rsidR="00026726" w:rsidRPr="00944EB5">
        <w:rPr>
          <w:i/>
        </w:rPr>
        <w:t xml:space="preserve">U.S. v. </w:t>
      </w:r>
      <w:proofErr w:type="spellStart"/>
      <w:r w:rsidR="00026726" w:rsidRPr="00944EB5">
        <w:rPr>
          <w:i/>
        </w:rPr>
        <w:t>Bontempts</w:t>
      </w:r>
      <w:proofErr w:type="spellEnd"/>
      <w:r w:rsidR="005F1FAD">
        <w:t xml:space="preserve"> when it said</w:t>
      </w:r>
      <w:r w:rsidR="00321C88">
        <w:t>, “</w:t>
      </w:r>
      <w:r w:rsidR="00302A4B">
        <w:t xml:space="preserve">A concealed weapon is necessarily obscured by something, typically clothing, </w:t>
      </w:r>
      <w:r w:rsidR="00026726">
        <w:t xml:space="preserve">A rule that always required more than a suggestive </w:t>
      </w:r>
      <w:r w:rsidR="00026726">
        <w:lastRenderedPageBreak/>
        <w:t>bulge, or that required the concealed weapon be revealed, would run counter to [the Supreme Court’s] fact-based standard and pos</w:t>
      </w:r>
      <w:r w:rsidR="00947178">
        <w:t>e</w:t>
      </w:r>
      <w:r w:rsidR="00F758AE">
        <w:t xml:space="preserve"> </w:t>
      </w:r>
      <w:r w:rsidR="00026726">
        <w:t>obvious safety concerns.</w:t>
      </w:r>
      <w:r w:rsidR="00321C88">
        <w:t>”</w:t>
      </w:r>
      <w:r w:rsidR="005F1FAD">
        <w:rPr>
          <w:rStyle w:val="FootnoteReference"/>
        </w:rPr>
        <w:footnoteReference w:id="1"/>
      </w:r>
    </w:p>
    <w:p w14:paraId="0D9FFE75" w14:textId="767F2504" w:rsidR="0082546B" w:rsidRDefault="00F758AE" w:rsidP="005F1FAD">
      <w:pPr>
        <w:ind w:firstLine="360"/>
      </w:pPr>
      <w:r w:rsidRPr="00F758AE">
        <w:rPr>
          <w:rFonts w:ascii="Charter Bd BT" w:hAnsi="Charter Bd BT"/>
          <w:smallCaps/>
        </w:rPr>
        <w:t>The possibility of an “innocent” explanation</w:t>
      </w:r>
      <w:r w:rsidRPr="00F758AE">
        <w:t>:</w:t>
      </w:r>
      <w:r>
        <w:t xml:space="preserve"> The judges also claimed that a detention or pat search is illegal if there might have been an innocent explanation for the suspect’s suspicious conduct. For example, the</w:t>
      </w:r>
      <w:r w:rsidR="00574FEB">
        <w:t>y</w:t>
      </w:r>
      <w:r>
        <w:t xml:space="preserve"> ruled that</w:t>
      </w:r>
      <w:r w:rsidR="005F1FAD">
        <w:t xml:space="preserve"> </w:t>
      </w:r>
      <w:r w:rsidR="0032379D">
        <w:t>Weaver’s</w:t>
      </w:r>
      <w:r w:rsidR="005F1FAD">
        <w:t xml:space="preserve"> desperate a</w:t>
      </w:r>
      <w:r>
        <w:t>ttempt to hide something down his pants was not suspicious because</w:t>
      </w:r>
      <w:r w:rsidR="00947178">
        <w:t xml:space="preserve"> these actions</w:t>
      </w:r>
      <w:r>
        <w:t xml:space="preserve"> “were equally consistent with the act of secreting drugs or other nonhazardous contraband.”</w:t>
      </w:r>
      <w:r w:rsidR="005F1FAD">
        <w:t xml:space="preserve"> </w:t>
      </w:r>
    </w:p>
    <w:p w14:paraId="6E1BC739" w14:textId="40AA8CF5" w:rsidR="00DC0445" w:rsidRDefault="0073560A" w:rsidP="0073560A">
      <w:pPr>
        <w:ind w:firstLine="360"/>
      </w:pPr>
      <w:r>
        <w:t xml:space="preserve">How is it possible that two federal appellate court judges were unaware that the </w:t>
      </w:r>
      <w:r w:rsidR="0032379D">
        <w:t xml:space="preserve">Supreme Court has </w:t>
      </w:r>
      <w:r>
        <w:t>consistently</w:t>
      </w:r>
      <w:r w:rsidR="0032379D">
        <w:t xml:space="preserve"> ruled</w:t>
      </w:r>
      <w:r w:rsidR="0082546B">
        <w:t xml:space="preserve"> that </w:t>
      </w:r>
      <w:r w:rsidR="009E4E7A">
        <w:t xml:space="preserve">an otherwise lawful search or seizure does not become unlawful </w:t>
      </w:r>
      <w:r w:rsidR="00B06A83">
        <w:t>merely because there was a possibility of an innocent explanation</w:t>
      </w:r>
      <w:r w:rsidR="009E4E7A">
        <w:t xml:space="preserve"> for the suspect’s conduct</w:t>
      </w:r>
      <w:r w:rsidR="00B06A83">
        <w:t xml:space="preserve">. </w:t>
      </w:r>
      <w:r>
        <w:t xml:space="preserve">In one such case, </w:t>
      </w:r>
      <w:r w:rsidR="00DC0445" w:rsidRPr="00DC0445">
        <w:rPr>
          <w:i/>
        </w:rPr>
        <w:t>United States v. Arvizu</w:t>
      </w:r>
      <w:r w:rsidR="00DC0445">
        <w:t xml:space="preserve">, </w:t>
      </w:r>
      <w:r>
        <w:t xml:space="preserve">the Court said that </w:t>
      </w:r>
      <w:r w:rsidR="00DC0445">
        <w:t>“</w:t>
      </w:r>
      <w:r>
        <w:t>a</w:t>
      </w:r>
      <w:r w:rsidR="00DC0445">
        <w:t xml:space="preserve"> determination that reasonable suspicion exists need not rule out the possibility of innocent conduct.”</w:t>
      </w:r>
      <w:r w:rsidR="00DC0445">
        <w:rPr>
          <w:rStyle w:val="FootnoteReference"/>
        </w:rPr>
        <w:footnoteReference w:id="2"/>
      </w:r>
    </w:p>
    <w:p w14:paraId="210D1CF8" w14:textId="3125E3B4" w:rsidR="00C573C4" w:rsidRDefault="00B06A83" w:rsidP="00C573C4">
      <w:pPr>
        <w:ind w:firstLine="360"/>
      </w:pPr>
      <w:r>
        <w:t xml:space="preserve">For </w:t>
      </w:r>
      <w:r w:rsidRPr="00B06A83">
        <w:t xml:space="preserve">example, </w:t>
      </w:r>
      <w:r>
        <w:t xml:space="preserve">the Court </w:t>
      </w:r>
      <w:r w:rsidR="00A64F0B">
        <w:t>recently chastised</w:t>
      </w:r>
      <w:r w:rsidR="0082546B">
        <w:t xml:space="preserve"> a panel of the D.C. Circuit because it “</w:t>
      </w:r>
      <w:r w:rsidR="0082546B" w:rsidRPr="00235D75">
        <w:t>mistakenly believed that it could dismiss outright any circumstances that were susceptible of innocent explanation</w:t>
      </w:r>
      <w:r w:rsidR="00C55000">
        <w:t>” when, in fact, “</w:t>
      </w:r>
      <w:r w:rsidR="0082546B" w:rsidRPr="00235D75">
        <w:t>probable cause does not require officers to rule out a suspect’s innocent explanation for suspicious facts</w:t>
      </w:r>
      <w:r w:rsidR="0082546B">
        <w:t>.</w:t>
      </w:r>
      <w:r w:rsidR="0082546B" w:rsidRPr="00235D75">
        <w:t>”</w:t>
      </w:r>
      <w:r w:rsidR="0082546B">
        <w:rPr>
          <w:rStyle w:val="FootnoteReference"/>
        </w:rPr>
        <w:footnoteReference w:id="3"/>
      </w:r>
      <w:r w:rsidR="0082546B" w:rsidRPr="00235D75">
        <w:t xml:space="preserve"> </w:t>
      </w:r>
      <w:r w:rsidR="0082546B">
        <w:t xml:space="preserve">Similarly, in </w:t>
      </w:r>
      <w:r w:rsidR="0082546B" w:rsidRPr="00DC0445">
        <w:rPr>
          <w:i/>
        </w:rPr>
        <w:t>Kansas v. Glover</w:t>
      </w:r>
      <w:r w:rsidR="003F56F7">
        <w:rPr>
          <w:rStyle w:val="FootnoteReference"/>
        </w:rPr>
        <w:footnoteReference w:id="4"/>
      </w:r>
      <w:r w:rsidR="0082546B">
        <w:t xml:space="preserve"> </w:t>
      </w:r>
      <w:r w:rsidR="00C55000">
        <w:t xml:space="preserve">a state court ruled that officers could not stop a vehicle merely because DMV reported that the license of the registered owner had been suspended. The state court “reasoned” that officers must assume that someone other than the registered owner was driving. The Supreme Court reversed, pointing out </w:t>
      </w:r>
      <w:r w:rsidR="00C573C4">
        <w:t>“[t]he fact that the registered owner of a vehicle is not always the driver of the vehicle does not negate the reasonableness of [the officer’s] inference.”</w:t>
      </w:r>
    </w:p>
    <w:p w14:paraId="3734F358" w14:textId="7B7C1855" w:rsidR="00872C3E" w:rsidRDefault="00944EB5" w:rsidP="0016537E">
      <w:r>
        <w:tab/>
      </w:r>
      <w:r w:rsidR="007E4F91" w:rsidRPr="007E4F91">
        <w:rPr>
          <w:rFonts w:ascii="Charter Bd BT" w:hAnsi="Charter Bd BT"/>
          <w:smallCaps/>
        </w:rPr>
        <w:t>Ignoring the totality of circumstances</w:t>
      </w:r>
      <w:r w:rsidR="007E4F91">
        <w:t xml:space="preserve">: </w:t>
      </w:r>
      <w:r w:rsidR="00FA6A58">
        <w:t xml:space="preserve">The </w:t>
      </w:r>
      <w:r w:rsidR="00227015">
        <w:t>judges</w:t>
      </w:r>
      <w:r w:rsidR="00FA6A58">
        <w:t xml:space="preserve"> </w:t>
      </w:r>
      <w:r w:rsidR="004223BE">
        <w:t xml:space="preserve">also </w:t>
      </w:r>
      <w:r w:rsidR="00FA6A58">
        <w:t xml:space="preserve">ignored </w:t>
      </w:r>
      <w:r w:rsidR="004223BE">
        <w:t xml:space="preserve">one of the </w:t>
      </w:r>
      <w:r w:rsidR="0016537E">
        <w:t>fundamental rule</w:t>
      </w:r>
      <w:r w:rsidR="004223BE">
        <w:t>s</w:t>
      </w:r>
      <w:r w:rsidR="0016537E">
        <w:t xml:space="preserve"> pertaining to searches and seizures: I</w:t>
      </w:r>
      <w:r w:rsidR="007E4F91">
        <w:t xml:space="preserve">n determining whether probable cause or reasonable suspicion exist, the courts must consider </w:t>
      </w:r>
      <w:r w:rsidR="00AF5CF8">
        <w:t>the totality of</w:t>
      </w:r>
      <w:r w:rsidR="007E4F91">
        <w:t xml:space="preserve"> relevant circumstances. The purpose of this rule is to prevent judges from isolating the </w:t>
      </w:r>
      <w:r w:rsidR="0056241F">
        <w:t>various</w:t>
      </w:r>
      <w:r w:rsidR="007E4F91">
        <w:t xml:space="preserve"> facts known to officers, </w:t>
      </w:r>
      <w:r w:rsidR="00AC47E0">
        <w:t xml:space="preserve">belittling </w:t>
      </w:r>
      <w:r w:rsidR="007E4F91">
        <w:t xml:space="preserve">the importance of </w:t>
      </w:r>
      <w:r w:rsidR="00D3754E">
        <w:t xml:space="preserve">each </w:t>
      </w:r>
      <w:r w:rsidR="00AF5CF8">
        <w:t>one</w:t>
      </w:r>
      <w:r w:rsidR="007E4F91">
        <w:t>,</w:t>
      </w:r>
      <w:r w:rsidR="00085E0C">
        <w:t xml:space="preserve"> </w:t>
      </w:r>
      <w:r w:rsidR="007E4F91">
        <w:t xml:space="preserve">then </w:t>
      </w:r>
      <w:r w:rsidR="00AC47E0">
        <w:t>ruling</w:t>
      </w:r>
      <w:r w:rsidR="007E4F91">
        <w:t xml:space="preserve"> </w:t>
      </w:r>
      <w:r w:rsidR="00D3754E">
        <w:t xml:space="preserve">that the resulting search or seizure was unlawful because none of the facts were sufficiently suspicious or incriminating. </w:t>
      </w:r>
    </w:p>
    <w:p w14:paraId="75DA5FE8" w14:textId="4053D856" w:rsidR="00085E0C" w:rsidRDefault="00AC47E0" w:rsidP="00872C3E">
      <w:pPr>
        <w:ind w:firstLine="360"/>
      </w:pPr>
      <w:r>
        <w:t xml:space="preserve">In rejecting </w:t>
      </w:r>
      <w:r w:rsidR="00872C3E">
        <w:t>this type of analysis</w:t>
      </w:r>
      <w:r>
        <w:t>, t</w:t>
      </w:r>
      <w:r w:rsidR="0016537E">
        <w:t xml:space="preserve">he Supreme Court observed in </w:t>
      </w:r>
      <w:r w:rsidR="00085E0C" w:rsidRPr="00D3754E">
        <w:rPr>
          <w:i/>
        </w:rPr>
        <w:t>Ryburn v. Huff</w:t>
      </w:r>
      <w:r w:rsidR="0016537E">
        <w:rPr>
          <w:i/>
        </w:rPr>
        <w:t>,</w:t>
      </w:r>
      <w:r w:rsidR="00085E0C">
        <w:t xml:space="preserve"> “But it is a matter of common sense that a combination of events each of which is mundane when viewed in isolation m</w:t>
      </w:r>
      <w:r w:rsidR="004C1016">
        <w:t xml:space="preserve">ay paint an alarming </w:t>
      </w:r>
      <w:r w:rsidR="004C1016" w:rsidRPr="004C1016">
        <w:t>picture.”</w:t>
      </w:r>
      <w:r w:rsidR="004C1016" w:rsidRPr="004C1016">
        <w:rPr>
          <w:rStyle w:val="FootnoteReference"/>
        </w:rPr>
        <w:footnoteReference w:id="5"/>
      </w:r>
      <w:r w:rsidR="005E4610">
        <w:t xml:space="preserve"> </w:t>
      </w:r>
      <w:r w:rsidR="00D3754E">
        <w:t>T</w:t>
      </w:r>
      <w:r w:rsidR="005E4610">
        <w:t xml:space="preserve">he dissenting judge in </w:t>
      </w:r>
      <w:r w:rsidR="005E4610" w:rsidRPr="001F28C2">
        <w:rPr>
          <w:i/>
        </w:rPr>
        <w:t>Weaver</w:t>
      </w:r>
      <w:r w:rsidR="005E4610">
        <w:t xml:space="preserve"> </w:t>
      </w:r>
      <w:r w:rsidR="00D3754E">
        <w:t>took note of</w:t>
      </w:r>
      <w:r w:rsidR="00227015">
        <w:t xml:space="preserve"> her colleagues’ </w:t>
      </w:r>
      <w:r w:rsidR="00D3754E">
        <w:t xml:space="preserve">violation of this rule when </w:t>
      </w:r>
      <w:r w:rsidR="0056241F">
        <w:t>she</w:t>
      </w:r>
      <w:r w:rsidR="00D3754E">
        <w:t xml:space="preserve"> pointed out that </w:t>
      </w:r>
      <w:r w:rsidR="00227015">
        <w:t xml:space="preserve">they had </w:t>
      </w:r>
      <w:r w:rsidR="005E4610">
        <w:t>“improperly evaluate</w:t>
      </w:r>
      <w:r w:rsidR="00227015">
        <w:t>d</w:t>
      </w:r>
      <w:r w:rsidR="005E4610">
        <w:t xml:space="preserve"> these facts piecemeal, discarding each as insufficient to create reasonable suspicion.”</w:t>
      </w:r>
    </w:p>
    <w:p w14:paraId="559E4C81" w14:textId="5300F621" w:rsidR="00CA57BF" w:rsidRDefault="00D3754E" w:rsidP="0056241F">
      <w:r>
        <w:lastRenderedPageBreak/>
        <w:tab/>
      </w:r>
      <w:r w:rsidRPr="00D3754E">
        <w:rPr>
          <w:rFonts w:ascii="Charter Bd BT" w:hAnsi="Charter Bd BT"/>
          <w:smallCaps/>
        </w:rPr>
        <w:t>A pat search begin</w:t>
      </w:r>
      <w:r w:rsidR="00E30570">
        <w:rPr>
          <w:rFonts w:ascii="Charter Bd BT" w:hAnsi="Charter Bd BT"/>
          <w:smallCaps/>
        </w:rPr>
        <w:t>s</w:t>
      </w:r>
      <w:r w:rsidRPr="00D3754E">
        <w:rPr>
          <w:rFonts w:ascii="Charter Bd BT" w:hAnsi="Charter Bd BT"/>
          <w:smallCaps/>
        </w:rPr>
        <w:t xml:space="preserve"> before </w:t>
      </w:r>
      <w:r w:rsidR="0056241F">
        <w:rPr>
          <w:rFonts w:ascii="Charter Bd BT" w:hAnsi="Charter Bd BT"/>
          <w:smallCaps/>
        </w:rPr>
        <w:t>it</w:t>
      </w:r>
      <w:r w:rsidRPr="00D3754E">
        <w:rPr>
          <w:rFonts w:ascii="Charter Bd BT" w:hAnsi="Charter Bd BT"/>
          <w:smallCaps/>
        </w:rPr>
        <w:t xml:space="preserve"> begins</w:t>
      </w:r>
      <w:r w:rsidRPr="00D3754E">
        <w:t xml:space="preserve">: </w:t>
      </w:r>
      <w:r w:rsidR="00AF5CF8">
        <w:t>As noted, w</w:t>
      </w:r>
      <w:r w:rsidR="007923B4">
        <w:t xml:space="preserve">hen </w:t>
      </w:r>
      <w:r w:rsidR="00CA57BF">
        <w:t xml:space="preserve">Weaver was ordered to put his hands against the car, </w:t>
      </w:r>
      <w:r w:rsidR="00FA6D01">
        <w:t>he</w:t>
      </w:r>
      <w:r w:rsidR="00195D00">
        <w:t xml:space="preserve"> pressed his body against it so as to </w:t>
      </w:r>
      <w:r w:rsidR="00AF5CF8">
        <w:t>prevent</w:t>
      </w:r>
      <w:r w:rsidR="00F663EE">
        <w:t xml:space="preserve"> the </w:t>
      </w:r>
      <w:r w:rsidR="00C573C4">
        <w:t>patdown</w:t>
      </w:r>
      <w:r w:rsidR="00F663EE">
        <w:t xml:space="preserve">. The officer then </w:t>
      </w:r>
      <w:r w:rsidR="00AC47E0">
        <w:t>ordered</w:t>
      </w:r>
      <w:r w:rsidR="00F663EE">
        <w:t xml:space="preserve"> </w:t>
      </w:r>
      <w:r w:rsidR="00FA6D01">
        <w:t>him</w:t>
      </w:r>
      <w:r w:rsidR="00F663EE">
        <w:t xml:space="preserve"> to step back, and he complied. But when the officer touched </w:t>
      </w:r>
      <w:r w:rsidR="00C573C4">
        <w:t>Weaver’s</w:t>
      </w:r>
      <w:r w:rsidR="004A4958">
        <w:t xml:space="preserve"> waist area, he</w:t>
      </w:r>
      <w:r w:rsidR="00CA57BF">
        <w:t xml:space="preserve"> </w:t>
      </w:r>
      <w:r w:rsidR="00AC47E0">
        <w:t xml:space="preserve">did it </w:t>
      </w:r>
      <w:r w:rsidR="00CA57BF">
        <w:t>again</w:t>
      </w:r>
      <w:r w:rsidR="00F663EE">
        <w:t xml:space="preserve">. </w:t>
      </w:r>
      <w:r w:rsidR="00C573C4">
        <w:t>So t</w:t>
      </w:r>
      <w:r w:rsidR="00CA57BF">
        <w:t xml:space="preserve">he officer </w:t>
      </w:r>
      <w:r w:rsidR="00F663EE">
        <w:t xml:space="preserve">handcuffed </w:t>
      </w:r>
      <w:r w:rsidR="00C573C4">
        <w:t>him</w:t>
      </w:r>
      <w:r w:rsidR="00F663EE">
        <w:t xml:space="preserve">, conducted the pat search, and found </w:t>
      </w:r>
      <w:r w:rsidR="004367CB">
        <w:t>the gun.</w:t>
      </w:r>
    </w:p>
    <w:p w14:paraId="4B80F761" w14:textId="102ADE94" w:rsidR="007D4AA5" w:rsidRDefault="00F663EE" w:rsidP="00872C3E">
      <w:r>
        <w:tab/>
      </w:r>
      <w:r w:rsidR="00CC48C5">
        <w:t>It would have been impossible</w:t>
      </w:r>
      <w:r w:rsidR="0073560A">
        <w:t xml:space="preserve"> </w:t>
      </w:r>
      <w:r w:rsidR="00CC48C5">
        <w:t xml:space="preserve">for the </w:t>
      </w:r>
      <w:r w:rsidR="00227015">
        <w:t>judges to</w:t>
      </w:r>
      <w:r w:rsidR="00CC48C5">
        <w:t xml:space="preserve"> suppress Weaver’s firearm if </w:t>
      </w:r>
      <w:r w:rsidR="00227015">
        <w:t>they</w:t>
      </w:r>
      <w:r w:rsidR="00CC48C5">
        <w:t xml:space="preserve"> </w:t>
      </w:r>
      <w:r w:rsidR="00706315">
        <w:t>were forced</w:t>
      </w:r>
      <w:r w:rsidR="00CC48C5">
        <w:t xml:space="preserve"> to consider </w:t>
      </w:r>
      <w:r w:rsidR="0073560A">
        <w:t>his</w:t>
      </w:r>
      <w:r w:rsidR="00CC48C5">
        <w:t xml:space="preserve"> desperate attempt to prevent the frisk. So, in an equally desperate move, </w:t>
      </w:r>
      <w:r w:rsidR="00227015">
        <w:t>they</w:t>
      </w:r>
      <w:r w:rsidR="00CC48C5">
        <w:t xml:space="preserve"> ruled </w:t>
      </w:r>
      <w:r w:rsidR="00FA6D01">
        <w:t>that the search</w:t>
      </w:r>
      <w:r w:rsidR="00CC48C5">
        <w:t xml:space="preserve"> had</w:t>
      </w:r>
      <w:r w:rsidR="00FA6D01">
        <w:t xml:space="preserve"> actually occurred </w:t>
      </w:r>
      <w:r w:rsidR="00FA6D01" w:rsidRPr="00FA6D01">
        <w:rPr>
          <w:i/>
        </w:rPr>
        <w:t>before</w:t>
      </w:r>
      <w:r w:rsidR="00FA6D01">
        <w:t xml:space="preserve"> </w:t>
      </w:r>
      <w:r w:rsidR="00545C3A">
        <w:t xml:space="preserve">Weaver attempted to prevent </w:t>
      </w:r>
      <w:r w:rsidR="00CC48C5">
        <w:t>it</w:t>
      </w:r>
      <w:r w:rsidR="00AF7C53">
        <w:t>;</w:t>
      </w:r>
      <w:r w:rsidR="004223BE">
        <w:t xml:space="preserve"> and therefore his </w:t>
      </w:r>
      <w:r w:rsidR="00C573C4">
        <w:t xml:space="preserve">subsequent </w:t>
      </w:r>
      <w:r w:rsidR="004223BE">
        <w:t>attempt to hide “something” down his pants</w:t>
      </w:r>
      <w:r w:rsidR="00050881">
        <w:t xml:space="preserve"> did not matter</w:t>
      </w:r>
      <w:r w:rsidR="004223BE">
        <w:t xml:space="preserve">. As the judges put it, </w:t>
      </w:r>
      <w:r w:rsidR="00C8612C" w:rsidRPr="004C1016">
        <w:t>“</w:t>
      </w:r>
      <w:r w:rsidR="004223BE">
        <w:t>[T]</w:t>
      </w:r>
      <w:proofErr w:type="spellStart"/>
      <w:r w:rsidR="00C8612C" w:rsidRPr="004C1016">
        <w:t>ouching</w:t>
      </w:r>
      <w:proofErr w:type="spellEnd"/>
      <w:r w:rsidR="00C8612C" w:rsidRPr="004C1016">
        <w:t xml:space="preserve"> the suspect with the intention of frisking him constitutes a search</w:t>
      </w:r>
      <w:r w:rsidR="00C8612C">
        <w:t>,</w:t>
      </w:r>
      <w:r w:rsidR="00C8612C" w:rsidRPr="004C1016">
        <w:t>”</w:t>
      </w:r>
      <w:r w:rsidR="00C8612C">
        <w:t xml:space="preserve"> and that </w:t>
      </w:r>
      <w:r w:rsidR="00C8612C" w:rsidRPr="004C1016">
        <w:t>“ordering someone to spread-eagle on a car</w:t>
      </w:r>
      <w:r w:rsidR="0056241F">
        <w:t xml:space="preserve"> </w:t>
      </w:r>
      <w:r w:rsidR="00C8612C" w:rsidRPr="004C1016">
        <w:t xml:space="preserve">is </w:t>
      </w:r>
      <w:r w:rsidR="004223BE">
        <w:t>a</w:t>
      </w:r>
      <w:r w:rsidR="00C8612C" w:rsidRPr="004C1016">
        <w:t xml:space="preserve"> search!”</w:t>
      </w:r>
      <w:r w:rsidR="0056241F">
        <w:t xml:space="preserve"> </w:t>
      </w:r>
      <w:r w:rsidR="004A4958">
        <w:t>(</w:t>
      </w:r>
      <w:r w:rsidR="00D56032">
        <w:t xml:space="preserve">Don’t be fooled by the exclamation point. </w:t>
      </w:r>
      <w:r w:rsidR="00321C88">
        <w:t>Nonsense followed by an explanation point is still nonsense.)</w:t>
      </w:r>
      <w:r w:rsidR="0073560A">
        <w:t xml:space="preserve"> </w:t>
      </w:r>
      <w:r w:rsidR="007D4AA5" w:rsidRPr="00C85AFB">
        <w:t xml:space="preserve">It is also noteworthy that the </w:t>
      </w:r>
      <w:r w:rsidR="007D4AA5">
        <w:t>judges</w:t>
      </w:r>
      <w:r w:rsidR="007D4AA5" w:rsidRPr="00C85AFB">
        <w:t xml:space="preserve"> indicated that the pat search began </w:t>
      </w:r>
      <w:r w:rsidR="007D4AA5">
        <w:t xml:space="preserve">at the moment </w:t>
      </w:r>
      <w:r w:rsidR="007D4AA5" w:rsidRPr="00C85AFB">
        <w:t xml:space="preserve">Weaver </w:t>
      </w:r>
      <w:r w:rsidR="007D4AA5">
        <w:t>subjectively believed</w:t>
      </w:r>
      <w:r w:rsidR="007D4AA5" w:rsidRPr="00C85AFB">
        <w:t xml:space="preserve"> that a search was imminent. But because Weaver did not testify at the suppression hearing, it is a mystery how the judges were able to </w:t>
      </w:r>
      <w:r w:rsidR="007D4AA5">
        <w:t>determine his beliefs and intentions.</w:t>
      </w:r>
    </w:p>
    <w:p w14:paraId="7E4A307F" w14:textId="7CA5CBBD" w:rsidR="00872C3E" w:rsidRDefault="00872C3E" w:rsidP="00E30570">
      <w:pPr>
        <w:ind w:firstLine="360"/>
      </w:pPr>
      <w:r>
        <w:t xml:space="preserve">In </w:t>
      </w:r>
      <w:r w:rsidR="007D4AA5">
        <w:t xml:space="preserve">any event, </w:t>
      </w:r>
      <w:r>
        <w:t xml:space="preserve">the </w:t>
      </w:r>
      <w:r w:rsidR="00F343C9">
        <w:t>Supreme Court has consistently ruled that</w:t>
      </w:r>
      <w:r>
        <w:t xml:space="preserve"> an officer’s subjective intentions are irrelevant in such a context. As the Court explained in </w:t>
      </w:r>
      <w:r w:rsidRPr="00E30570">
        <w:rPr>
          <w:i/>
        </w:rPr>
        <w:t>United State</w:t>
      </w:r>
      <w:r w:rsidR="00E30570" w:rsidRPr="00E30570">
        <w:rPr>
          <w:i/>
        </w:rPr>
        <w:t>s</w:t>
      </w:r>
      <w:r w:rsidRPr="00E30570">
        <w:rPr>
          <w:i/>
        </w:rPr>
        <w:t xml:space="preserve"> v. Mendenhall</w:t>
      </w:r>
      <w:r>
        <w:t xml:space="preserve">, </w:t>
      </w:r>
      <w:r w:rsidRPr="00654058">
        <w:t>“[T]he subjective intention of the DEA agent in this case to detain the respondent, had she attempted to leave, is irrelevant except insofar as that may have been conveyed to the respondent.”</w:t>
      </w:r>
      <w:r>
        <w:rPr>
          <w:rStyle w:val="FootnoteReference"/>
        </w:rPr>
        <w:footnoteReference w:id="6"/>
      </w:r>
      <w:r w:rsidR="00E30570">
        <w:t xml:space="preserve"> Or, as the California Supreme Court put it, </w:t>
      </w:r>
      <w:r w:rsidR="00E30570" w:rsidRPr="00654058">
        <w:t>“The officer’s uncommunicated state of mind [is] irrelevant in assessing whether a seizure triggering Fourth Ame</w:t>
      </w:r>
      <w:r w:rsidR="00E30570">
        <w:t>ndment scrutiny has occurred.”</w:t>
      </w:r>
      <w:r w:rsidR="00E30570">
        <w:rPr>
          <w:rStyle w:val="FootnoteReference"/>
        </w:rPr>
        <w:footnoteReference w:id="7"/>
      </w:r>
      <w:r w:rsidR="00E30570">
        <w:t xml:space="preserve"> Thus, t</w:t>
      </w:r>
      <w:r w:rsidR="003E3147">
        <w:t xml:space="preserve">he dissenting judge in </w:t>
      </w:r>
      <w:r w:rsidR="003E3147" w:rsidRPr="00A64F0B">
        <w:rPr>
          <w:i/>
        </w:rPr>
        <w:t>Weaver</w:t>
      </w:r>
      <w:r w:rsidR="003E3147">
        <w:t>,</w:t>
      </w:r>
      <w:r>
        <w:t xml:space="preserve"> Chief Judge Debra Ann Livingston, </w:t>
      </w:r>
      <w:r w:rsidR="00E30570">
        <w:t xml:space="preserve">pointed out that </w:t>
      </w:r>
      <w:r>
        <w:t>“</w:t>
      </w:r>
      <w:r w:rsidR="00E30570">
        <w:t>t</w:t>
      </w:r>
      <w:r>
        <w:t xml:space="preserve">he majority’s conclusion that a frisk commences when an officer (supposedly) decided to perform a frisk and orders a suspect to assume what the majority terms an ‘in search’ position, is both erroneous and problematic.” She </w:t>
      </w:r>
      <w:r w:rsidR="00E30570">
        <w:t>concluded</w:t>
      </w:r>
      <w:r>
        <w:t>, “I am unwilling to send police and judges into a new thicket of Fourth Amendment law that requires them to assess the propriety of a frisk based on the likely judgments of appellate courts regarding an officer’s intent in issuing an order or appellate judges’ view as to what constitutes an ‘in search’ position.”</w:t>
      </w:r>
    </w:p>
    <w:p w14:paraId="6FB06445" w14:textId="2FF1CED3" w:rsidR="004406CA" w:rsidRPr="00BA399D" w:rsidRDefault="00872C3E" w:rsidP="004C4272">
      <w:r>
        <w:tab/>
        <w:t>For</w:t>
      </w:r>
      <w:r w:rsidR="003E3147">
        <w:t xml:space="preserve"> all of</w:t>
      </w:r>
      <w:r>
        <w:t xml:space="preserve"> these reasons, we do not think</w:t>
      </w:r>
      <w:r w:rsidR="003E3147">
        <w:t xml:space="preserve"> the judges’ ruling in</w:t>
      </w:r>
      <w:r>
        <w:t xml:space="preserve"> </w:t>
      </w:r>
      <w:r w:rsidR="00E30570" w:rsidRPr="00E30570">
        <w:rPr>
          <w:i/>
        </w:rPr>
        <w:t>Weaver</w:t>
      </w:r>
      <w:r w:rsidR="004C4272">
        <w:t xml:space="preserve"> will stand. </w:t>
      </w:r>
      <w:r w:rsidR="00FA42EC" w:rsidRPr="0055516B">
        <w:rPr>
          <w:sz w:val="20"/>
          <w:szCs w:val="20"/>
          <w:bdr w:val="single" w:sz="4" w:space="0" w:color="auto"/>
        </w:rPr>
        <w:t>POV</w:t>
      </w:r>
      <w:r w:rsidR="00FA42EC" w:rsidRPr="0055516B">
        <w:rPr>
          <w:sz w:val="20"/>
          <w:szCs w:val="20"/>
        </w:rPr>
        <w:t xml:space="preserve">      </w:t>
      </w:r>
    </w:p>
    <w:p w14:paraId="5D039384" w14:textId="5DD11372" w:rsidR="00705018" w:rsidRDefault="00705018" w:rsidP="00705018">
      <w:r w:rsidRPr="001F07A5">
        <w:rPr>
          <w:rFonts w:ascii="Charter Bd BT" w:hAnsi="Charter Bd BT"/>
        </w:rPr>
        <w:t>Date posted</w:t>
      </w:r>
      <w:r w:rsidRPr="001F07A5">
        <w:t>:</w:t>
      </w:r>
      <w:r w:rsidR="00226EFC">
        <w:t xml:space="preserve"> October 5, 2020</w:t>
      </w:r>
    </w:p>
    <w:p w14:paraId="38E3D548" w14:textId="3E1DAADC" w:rsidR="00904585" w:rsidRPr="001F07A5" w:rsidRDefault="00904585" w:rsidP="00705018">
      <w:r w:rsidRPr="00904585">
        <w:rPr>
          <w:rFonts w:ascii="Charter Bd BT" w:hAnsi="Charter Bd BT"/>
        </w:rPr>
        <w:t>Updated</w:t>
      </w:r>
      <w:r w:rsidR="004C4272">
        <w:t>: August 16, 2021</w:t>
      </w:r>
    </w:p>
    <w:p w14:paraId="6D3F10E2" w14:textId="054CA3D0" w:rsidR="004406CA" w:rsidRDefault="004406CA" w:rsidP="000327A1"/>
    <w:p w14:paraId="37A2C357" w14:textId="46E3376C" w:rsidR="002264FA" w:rsidRDefault="002264FA" w:rsidP="000327A1"/>
    <w:sectPr w:rsidR="002264FA" w:rsidSect="00AF7C53">
      <w:headerReference w:type="even" r:id="rId10"/>
      <w:headerReference w:type="default" r:id="rId11"/>
      <w:footerReference w:type="even" r:id="rId12"/>
      <w:footerReference w:type="default" r:id="rId13"/>
      <w:type w:val="oddPage"/>
      <w:pgSz w:w="12240" w:h="15840" w:code="1"/>
      <w:pgMar w:top="1530"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3073D" w14:textId="77777777" w:rsidR="00890C7A" w:rsidRDefault="00890C7A">
      <w:r>
        <w:separator/>
      </w:r>
    </w:p>
  </w:endnote>
  <w:endnote w:type="continuationSeparator" w:id="0">
    <w:p w14:paraId="67BC0490" w14:textId="77777777" w:rsidR="00890C7A" w:rsidRDefault="0089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harter BT">
    <w:panose1 w:val="02040503050506020203"/>
    <w:charset w:val="00"/>
    <w:family w:val="roman"/>
    <w:pitch w:val="variable"/>
    <w:sig w:usb0="00000087" w:usb1="00000000" w:usb2="00000000" w:usb3="00000000" w:csb0="0000001B" w:csb1="00000000"/>
  </w:font>
  <w:font w:name="Charter Bd BT">
    <w:panose1 w:val="02040703050506020203"/>
    <w:charset w:val="00"/>
    <w:family w:val="roman"/>
    <w:pitch w:val="variable"/>
    <w:sig w:usb0="00000087" w:usb1="00000000" w:usb2="00000000" w:usb3="00000000" w:csb0="0000001B"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87620" w14:textId="75EA9184" w:rsidR="00C12BEB" w:rsidRDefault="00C12BEB" w:rsidP="008B3036">
    <w:pPr>
      <w:framePr w:wrap="around" w:vAnchor="text" w:hAnchor="margin" w:xAlign="center" w:y="1"/>
    </w:pPr>
    <w:r>
      <w:fldChar w:fldCharType="begin"/>
    </w:r>
    <w:r>
      <w:instrText xml:space="preserve">PAGE  </w:instrText>
    </w:r>
    <w:r>
      <w:fldChar w:fldCharType="separate"/>
    </w:r>
    <w:r w:rsidR="00D75EBB">
      <w:rPr>
        <w:noProof/>
      </w:rPr>
      <w:t>2</w:t>
    </w:r>
    <w:r>
      <w:fldChar w:fldCharType="end"/>
    </w:r>
  </w:p>
  <w:p w14:paraId="490878E6" w14:textId="77777777" w:rsidR="00C12BEB" w:rsidRDefault="00C12BE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4DBA" w14:textId="733DE92A" w:rsidR="00C12BEB" w:rsidRDefault="00C12BEB" w:rsidP="008B3036">
    <w:pPr>
      <w:framePr w:wrap="around" w:vAnchor="text" w:hAnchor="margin" w:xAlign="center" w:y="1"/>
    </w:pPr>
    <w:r>
      <w:fldChar w:fldCharType="begin"/>
    </w:r>
    <w:r>
      <w:instrText xml:space="preserve">PAGE  </w:instrText>
    </w:r>
    <w:r>
      <w:fldChar w:fldCharType="separate"/>
    </w:r>
    <w:r w:rsidR="00D75EBB">
      <w:rPr>
        <w:noProof/>
      </w:rPr>
      <w:t>1</w:t>
    </w:r>
    <w:r>
      <w:fldChar w:fldCharType="end"/>
    </w:r>
  </w:p>
  <w:p w14:paraId="08199857" w14:textId="77777777" w:rsidR="00C12BEB" w:rsidRDefault="00C12B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79774" w14:textId="77777777" w:rsidR="00890C7A" w:rsidRDefault="00890C7A">
      <w:r>
        <w:separator/>
      </w:r>
    </w:p>
  </w:footnote>
  <w:footnote w:type="continuationSeparator" w:id="0">
    <w:p w14:paraId="5ECF9534" w14:textId="77777777" w:rsidR="00890C7A" w:rsidRDefault="00890C7A">
      <w:r>
        <w:continuationSeparator/>
      </w:r>
    </w:p>
  </w:footnote>
  <w:footnote w:id="1">
    <w:p w14:paraId="4D9E4E5A" w14:textId="662323B2" w:rsidR="00C55000" w:rsidRPr="00235D75" w:rsidRDefault="005F1FAD" w:rsidP="005F1FAD">
      <w:pPr>
        <w:pStyle w:val="FootnoteText"/>
      </w:pPr>
      <w:r>
        <w:rPr>
          <w:rStyle w:val="FootnoteReference"/>
        </w:rPr>
        <w:footnoteRef/>
      </w:r>
      <w:r>
        <w:t xml:space="preserve"> </w:t>
      </w:r>
      <w:r w:rsidRPr="00235D75">
        <w:rPr>
          <w:i/>
        </w:rPr>
        <w:t xml:space="preserve">U.S. v. </w:t>
      </w:r>
      <w:proofErr w:type="spellStart"/>
      <w:r w:rsidRPr="00235D75">
        <w:rPr>
          <w:i/>
        </w:rPr>
        <w:t>Bontempts</w:t>
      </w:r>
      <w:proofErr w:type="spellEnd"/>
      <w:r w:rsidRPr="00235D75">
        <w:t xml:space="preserve"> (9th Cir. 2020) __ F.3d __ [2020 WL 6040044].</w:t>
      </w:r>
      <w:r w:rsidR="00C55000">
        <w:t xml:space="preserve"> Also see </w:t>
      </w:r>
      <w:r w:rsidR="00C55000" w:rsidRPr="0059040C">
        <w:rPr>
          <w:i/>
        </w:rPr>
        <w:t>People v.  Macabeo</w:t>
      </w:r>
      <w:r w:rsidR="00C55000" w:rsidRPr="006062C4">
        <w:t xml:space="preserve"> (2016) 1 Cal.5th 1206, 1214 [“An officer need not have particularized cause to believe an arrestee is actually armed or possesses contra</w:t>
      </w:r>
      <w:r w:rsidR="00C55000">
        <w:t>band in order to search him.”].</w:t>
      </w:r>
    </w:p>
  </w:footnote>
  <w:footnote w:id="2">
    <w:p w14:paraId="034E7A74" w14:textId="11264123" w:rsidR="00DC0445" w:rsidRDefault="00DC0445">
      <w:pPr>
        <w:pStyle w:val="FootnoteText"/>
      </w:pPr>
      <w:r>
        <w:rPr>
          <w:rStyle w:val="FootnoteReference"/>
        </w:rPr>
        <w:footnoteRef/>
      </w:r>
      <w:r>
        <w:t xml:space="preserve"> (2002) 534 U.S. 266, 277</w:t>
      </w:r>
    </w:p>
  </w:footnote>
  <w:footnote w:id="3">
    <w:p w14:paraId="5BC83D59" w14:textId="5C2AE464" w:rsidR="0082546B" w:rsidRPr="00235D75" w:rsidRDefault="0082546B" w:rsidP="0082546B">
      <w:pPr>
        <w:pStyle w:val="FootnoteText"/>
      </w:pPr>
      <w:r w:rsidRPr="00235D75">
        <w:rPr>
          <w:rStyle w:val="FootnoteReference"/>
        </w:rPr>
        <w:footnoteRef/>
      </w:r>
      <w:r>
        <w:rPr>
          <w:rStyle w:val="EndItalics"/>
          <w:sz w:val="20"/>
        </w:rPr>
        <w:t xml:space="preserve"> </w:t>
      </w:r>
      <w:r w:rsidR="00A64F0B" w:rsidRPr="00B06A83">
        <w:rPr>
          <w:rStyle w:val="EndItalics"/>
          <w:sz w:val="22"/>
        </w:rPr>
        <w:t>District of Columbia v. Wesby</w:t>
      </w:r>
      <w:r w:rsidR="00A64F0B">
        <w:rPr>
          <w:rStyle w:val="EndItalics"/>
          <w:sz w:val="22"/>
        </w:rPr>
        <w:t xml:space="preserve"> </w:t>
      </w:r>
      <w:r w:rsidRPr="00235D75">
        <w:t>(2018) __ U</w:t>
      </w:r>
      <w:r>
        <w:t>.</w:t>
      </w:r>
      <w:r w:rsidRPr="00235D75">
        <w:t>S</w:t>
      </w:r>
      <w:r>
        <w:t>.</w:t>
      </w:r>
      <w:r w:rsidRPr="00235D75">
        <w:t xml:space="preserve"> __ [138 S.Ct. 577, 588]</w:t>
      </w:r>
      <w:r>
        <w:t>.</w:t>
      </w:r>
      <w:r w:rsidR="00DC0445">
        <w:t xml:space="preserve"> </w:t>
      </w:r>
    </w:p>
  </w:footnote>
  <w:footnote w:id="4">
    <w:p w14:paraId="66E5CA19" w14:textId="18B2677B" w:rsidR="00DC0445" w:rsidRDefault="003F56F7" w:rsidP="003F56F7">
      <w:pPr>
        <w:pStyle w:val="FootnoteText"/>
      </w:pPr>
      <w:r>
        <w:rPr>
          <w:rStyle w:val="FootnoteReference"/>
        </w:rPr>
        <w:footnoteRef/>
      </w:r>
      <w:r>
        <w:t xml:space="preserve"> (2020) __ U</w:t>
      </w:r>
      <w:r w:rsidR="00054E75">
        <w:t>.</w:t>
      </w:r>
      <w:r>
        <w:t>S</w:t>
      </w:r>
      <w:r w:rsidR="00054E75">
        <w:t>.</w:t>
      </w:r>
      <w:r>
        <w:t xml:space="preserve"> __ [140 S.Ct. 1183]. Also see</w:t>
      </w:r>
      <w:r w:rsidR="00DC0445">
        <w:t xml:space="preserve"> </w:t>
      </w:r>
      <w:r w:rsidR="00DC0445">
        <w:rPr>
          <w:i/>
        </w:rPr>
        <w:t>United States</w:t>
      </w:r>
      <w:r w:rsidR="00DC0445">
        <w:t xml:space="preserve"> </w:t>
      </w:r>
      <w:r w:rsidR="00DC0445" w:rsidRPr="00055661">
        <w:rPr>
          <w:i/>
        </w:rPr>
        <w:t>v.</w:t>
      </w:r>
      <w:r w:rsidR="00DC0445">
        <w:t xml:space="preserve"> </w:t>
      </w:r>
      <w:r w:rsidR="00DC0445" w:rsidRPr="00CC6888">
        <w:rPr>
          <w:i/>
        </w:rPr>
        <w:t>Ar</w:t>
      </w:r>
      <w:r w:rsidR="00DC0445" w:rsidRPr="009E1A5B">
        <w:t>v</w:t>
      </w:r>
      <w:r w:rsidR="00DC0445" w:rsidRPr="00CC6888">
        <w:rPr>
          <w:i/>
        </w:rPr>
        <w:t>izu</w:t>
      </w:r>
      <w:r w:rsidR="00DC0445">
        <w:t xml:space="preserve"> (2002) 534 U.S. 266, 277 [“A determination that reasonable suspicion exists need not rule out the possibility of innocent conduct.”]; </w:t>
      </w:r>
      <w:r w:rsidR="00DC0445" w:rsidRPr="007C205B">
        <w:rPr>
          <w:i/>
        </w:rPr>
        <w:t>Garcia v. County of Merced</w:t>
      </w:r>
      <w:r w:rsidR="00DC0445" w:rsidRPr="007C205B">
        <w:t xml:space="preserve"> (9</w:t>
      </w:r>
      <w:r w:rsidR="00DC0445">
        <w:t>th Cir.</w:t>
      </w:r>
      <w:r w:rsidR="00DC0445" w:rsidRPr="007C205B">
        <w:t xml:space="preserve"> 2011) 639 F</w:t>
      </w:r>
      <w:r w:rsidR="00DC0445">
        <w:t>.</w:t>
      </w:r>
      <w:r w:rsidR="00DC0445" w:rsidRPr="007C205B">
        <w:t>3</w:t>
      </w:r>
      <w:r w:rsidR="00054E75">
        <w:t>d</w:t>
      </w:r>
      <w:r w:rsidR="00DC0445" w:rsidRPr="007C205B">
        <w:t xml:space="preserve"> 1206, 1209 [“For information to amount to probable cause, it does not have to be conclusive of guilt, and it does not have to exclude the possibility of innocence.”]</w:t>
      </w:r>
      <w:r w:rsidR="00DC0445">
        <w:t>.</w:t>
      </w:r>
    </w:p>
  </w:footnote>
  <w:footnote w:id="5">
    <w:p w14:paraId="5456B360" w14:textId="77777777" w:rsidR="004C1016" w:rsidRPr="00C85AFB" w:rsidRDefault="004C1016">
      <w:pPr>
        <w:pStyle w:val="FootnoteText"/>
      </w:pPr>
      <w:r w:rsidRPr="00C85AFB">
        <w:rPr>
          <w:rStyle w:val="FootnoteReference"/>
        </w:rPr>
        <w:footnoteRef/>
      </w:r>
      <w:r w:rsidRPr="00C85AFB">
        <w:t xml:space="preserve"> (2012) 565 U</w:t>
      </w:r>
      <w:r w:rsidR="008A686E">
        <w:t>.</w:t>
      </w:r>
      <w:r w:rsidRPr="00C85AFB">
        <w:t>S</w:t>
      </w:r>
      <w:r w:rsidR="008A686E">
        <w:t>.</w:t>
      </w:r>
      <w:r w:rsidRPr="00C85AFB">
        <w:t xml:space="preserve"> 469, 476-77. Also see </w:t>
      </w:r>
      <w:r w:rsidRPr="00C85AFB">
        <w:rPr>
          <w:rStyle w:val="EndItalics"/>
          <w:sz w:val="20"/>
        </w:rPr>
        <w:t>District of Columbia v. Wesby</w:t>
      </w:r>
      <w:r w:rsidRPr="00C85AFB">
        <w:t xml:space="preserve"> (2018) __ US __ [138 S.Ct. 577, 588] [“the panel majority viewed each fact in isolation rather than as a factor in the totality of circumstances”]; </w:t>
      </w:r>
      <w:r w:rsidRPr="00C85AFB">
        <w:rPr>
          <w:i/>
        </w:rPr>
        <w:t>U</w:t>
      </w:r>
      <w:r w:rsidR="008A686E">
        <w:rPr>
          <w:i/>
        </w:rPr>
        <w:t>nited States</w:t>
      </w:r>
      <w:r w:rsidRPr="00C85AFB">
        <w:t xml:space="preserve"> </w:t>
      </w:r>
      <w:r w:rsidRPr="00C85AFB">
        <w:rPr>
          <w:i/>
        </w:rPr>
        <w:t>v.</w:t>
      </w:r>
      <w:r w:rsidRPr="00C85AFB">
        <w:t xml:space="preserve"> </w:t>
      </w:r>
      <w:r w:rsidRPr="00C85AFB">
        <w:rPr>
          <w:i/>
        </w:rPr>
        <w:t>Ar</w:t>
      </w:r>
      <w:r w:rsidRPr="00C85AFB">
        <w:t>v</w:t>
      </w:r>
      <w:r w:rsidRPr="00C85AFB">
        <w:rPr>
          <w:i/>
        </w:rPr>
        <w:t>izu</w:t>
      </w:r>
      <w:r w:rsidRPr="00C85AFB">
        <w:t xml:space="preserve"> (2002) 534 U</w:t>
      </w:r>
      <w:r w:rsidR="008A686E">
        <w:t>.</w:t>
      </w:r>
      <w:r w:rsidRPr="00C85AFB">
        <w:t>S</w:t>
      </w:r>
      <w:r w:rsidR="008A686E">
        <w:t>.</w:t>
      </w:r>
      <w:r w:rsidRPr="00C85AFB">
        <w:t xml:space="preserve"> 266, 273 [“[W]e have said repeatedly that [the lower courts] must look at the totality of t</w:t>
      </w:r>
      <w:r w:rsidR="008A686E">
        <w:t>he circumstances of each case”].</w:t>
      </w:r>
    </w:p>
  </w:footnote>
  <w:footnote w:id="6">
    <w:p w14:paraId="3C03346D" w14:textId="32A938AD" w:rsidR="00872C3E" w:rsidRDefault="00872C3E">
      <w:pPr>
        <w:pStyle w:val="FootnoteText"/>
      </w:pPr>
      <w:r>
        <w:rPr>
          <w:rStyle w:val="FootnoteReference"/>
        </w:rPr>
        <w:footnoteRef/>
      </w:r>
      <w:r>
        <w:t xml:space="preserve"> </w:t>
      </w:r>
      <w:r w:rsidRPr="00654058">
        <w:t xml:space="preserve">(1980) 446 </w:t>
      </w:r>
      <w:r>
        <w:t>U.S.</w:t>
      </w:r>
      <w:r w:rsidRPr="00654058">
        <w:t xml:space="preserve"> 544, 554, </w:t>
      </w:r>
      <w:r>
        <w:t>fn.</w:t>
      </w:r>
      <w:r w:rsidRPr="00654058">
        <w:t>6</w:t>
      </w:r>
      <w:r>
        <w:t>.</w:t>
      </w:r>
    </w:p>
  </w:footnote>
  <w:footnote w:id="7">
    <w:p w14:paraId="127AD848" w14:textId="47AC0443" w:rsidR="00E30570" w:rsidRDefault="00E30570">
      <w:pPr>
        <w:pStyle w:val="FootnoteText"/>
      </w:pPr>
      <w:r>
        <w:rPr>
          <w:rStyle w:val="FootnoteReference"/>
        </w:rPr>
        <w:footnoteRef/>
      </w:r>
      <w:r>
        <w:t xml:space="preserve"> </w:t>
      </w:r>
      <w:r>
        <w:rPr>
          <w:i/>
        </w:rPr>
        <w:t>In re</w:t>
      </w:r>
      <w:r w:rsidRPr="009E1A5B">
        <w:t xml:space="preserve"> </w:t>
      </w:r>
      <w:r w:rsidRPr="00654058">
        <w:rPr>
          <w:i/>
        </w:rPr>
        <w:t>Manuel G.</w:t>
      </w:r>
      <w:r w:rsidRPr="00654058">
        <w:t xml:space="preserve"> (1997) 16 </w:t>
      </w:r>
      <w:r>
        <w:t xml:space="preserve">Cal.4th </w:t>
      </w:r>
      <w:r w:rsidRPr="00654058">
        <w:t>805, 821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0C4FD" w14:textId="77777777" w:rsidR="00C12BEB" w:rsidRPr="00662ECE" w:rsidRDefault="00C12BEB">
    <w:pPr>
      <w:pStyle w:val="Header"/>
      <w:rPr>
        <w:smallCaps/>
        <w:sz w:val="24"/>
        <w:szCs w:val="24"/>
      </w:rPr>
    </w:pPr>
    <w:smartTag w:uri="urn:schemas-microsoft-com:office:smarttags" w:element="place">
      <w:smartTag w:uri="urn:schemas-microsoft-com:office:smarttags" w:element="City">
        <w:r w:rsidRPr="00662ECE">
          <w:rPr>
            <w:smallCaps/>
            <w:sz w:val="24"/>
            <w:szCs w:val="24"/>
          </w:rPr>
          <w:t>Alameda</w:t>
        </w:r>
      </w:smartTag>
    </w:smartTag>
    <w:r w:rsidRPr="00662ECE">
      <w:rPr>
        <w:smallCaps/>
        <w:sz w:val="24"/>
        <w:szCs w:val="24"/>
      </w:rPr>
      <w:t xml:space="preserve"> County District</w:t>
    </w:r>
    <w:r w:rsidR="0080688C">
      <w:rPr>
        <w:smallCaps/>
        <w:noProof/>
        <w:sz w:val="24"/>
        <w:szCs w:val="24"/>
      </w:rPr>
      <mc:AlternateContent>
        <mc:Choice Requires="wps">
          <w:drawing>
            <wp:anchor distT="0" distB="0" distL="114300" distR="114300" simplePos="0" relativeHeight="251658240" behindDoc="1" locked="1" layoutInCell="1" allowOverlap="1" wp14:anchorId="0EDDB917" wp14:editId="6B127102">
              <wp:simplePos x="0" y="0"/>
              <wp:positionH relativeFrom="page">
                <wp:posOffset>1107440</wp:posOffset>
              </wp:positionH>
              <wp:positionV relativeFrom="page">
                <wp:posOffset>660400</wp:posOffset>
              </wp:positionV>
              <wp:extent cx="5559425" cy="27305"/>
              <wp:effectExtent l="2540" t="3175" r="63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9425" cy="27305"/>
                      </a:xfrm>
                      <a:prstGeom prst="rect">
                        <a:avLst/>
                      </a:prstGeom>
                      <a:solidFill>
                        <a:srgbClr val="00008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1AD839" id="Rectangle 5" o:spid="_x0000_s1026" style="position:absolute;margin-left:87.2pt;margin-top:52pt;width:437.75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" fillcolor="navy" stroked="f" strokeweight="0">
              <w10:wrap anchorx="page" anchory="page"/>
              <w10:anchorlock/>
            </v:rect>
          </w:pict>
        </mc:Fallback>
      </mc:AlternateContent>
    </w:r>
    <w:r w:rsidRPr="00662ECE">
      <w:rPr>
        <w:smallCaps/>
        <w:sz w:val="24"/>
        <w:szCs w:val="24"/>
      </w:rPr>
      <w:t xml:space="preserve"> Attorney’s Office</w:t>
    </w:r>
  </w:p>
  <w:p w14:paraId="10C1EF5C" w14:textId="77777777" w:rsidR="00C12BEB" w:rsidRDefault="00C12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7EE0" w14:textId="77777777" w:rsidR="00C12BEB" w:rsidRPr="00662ECE" w:rsidRDefault="00C12BEB" w:rsidP="007F0FE1">
    <w:pPr>
      <w:pStyle w:val="Header"/>
      <w:jc w:val="right"/>
      <w:rPr>
        <w:smallCaps/>
        <w:sz w:val="24"/>
        <w:szCs w:val="24"/>
      </w:rPr>
    </w:pPr>
    <w:r w:rsidRPr="00662ECE">
      <w:rPr>
        <w:smallCaps/>
        <w:sz w:val="24"/>
        <w:szCs w:val="24"/>
      </w:rPr>
      <w:t>Point of View</w:t>
    </w:r>
    <w:r w:rsidR="00070461">
      <w:rPr>
        <w:smallCaps/>
        <w:sz w:val="24"/>
        <w:szCs w:val="24"/>
      </w:rPr>
      <w:t xml:space="preserve"> Online</w:t>
    </w:r>
  </w:p>
  <w:p w14:paraId="7561FBB6" w14:textId="77777777" w:rsidR="00C12BEB" w:rsidRDefault="0080688C" w:rsidP="00662ECE">
    <w:pPr>
      <w:pStyle w:val="Header"/>
      <w:jc w:val="right"/>
    </w:pPr>
    <w:r>
      <w:rPr>
        <w:noProof/>
      </w:rPr>
      <mc:AlternateContent>
        <mc:Choice Requires="wps">
          <w:drawing>
            <wp:anchor distT="0" distB="0" distL="114300" distR="114300" simplePos="0" relativeHeight="251657216" behindDoc="1" locked="1" layoutInCell="1" allowOverlap="1" wp14:anchorId="3D8648C5" wp14:editId="63A28EE5">
              <wp:simplePos x="0" y="0"/>
              <wp:positionH relativeFrom="page">
                <wp:posOffset>1107440</wp:posOffset>
              </wp:positionH>
              <wp:positionV relativeFrom="page">
                <wp:posOffset>650875</wp:posOffset>
              </wp:positionV>
              <wp:extent cx="5559425" cy="27305"/>
              <wp:effectExtent l="2540" t="3175" r="63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9425" cy="27305"/>
                      </a:xfrm>
                      <a:prstGeom prst="rect">
                        <a:avLst/>
                      </a:prstGeom>
                      <a:solidFill>
                        <a:srgbClr val="00008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51341E" id="Rectangle 3" o:spid="_x0000_s1026" style="position:absolute;margin-left:87.2pt;margin-top:51.25pt;width:437.75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" fillcolor="navy" stroked="f" strokeweight="0">
              <w10:wrap anchorx="page"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74753" style="mso-position-horizontal-relative:page;mso-position-vertical-relative:page" fillcolor="black" stroke="f">
      <v:fill color="black" color2="black"/>
      <v:stroke weight="0"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D"/>
    <w:rsid w:val="00002053"/>
    <w:rsid w:val="0000291A"/>
    <w:rsid w:val="00003872"/>
    <w:rsid w:val="00005746"/>
    <w:rsid w:val="00005E6B"/>
    <w:rsid w:val="000066A0"/>
    <w:rsid w:val="00007F1A"/>
    <w:rsid w:val="000137B8"/>
    <w:rsid w:val="00013D53"/>
    <w:rsid w:val="00017D6E"/>
    <w:rsid w:val="00022DA3"/>
    <w:rsid w:val="00026726"/>
    <w:rsid w:val="00027B29"/>
    <w:rsid w:val="000327A1"/>
    <w:rsid w:val="000332F3"/>
    <w:rsid w:val="00034851"/>
    <w:rsid w:val="00035927"/>
    <w:rsid w:val="000364C4"/>
    <w:rsid w:val="00037D99"/>
    <w:rsid w:val="00043426"/>
    <w:rsid w:val="000441FA"/>
    <w:rsid w:val="00046C8B"/>
    <w:rsid w:val="00050881"/>
    <w:rsid w:val="00053407"/>
    <w:rsid w:val="00054E53"/>
    <w:rsid w:val="00054E75"/>
    <w:rsid w:val="00054F85"/>
    <w:rsid w:val="000551FA"/>
    <w:rsid w:val="000554FB"/>
    <w:rsid w:val="00057ECD"/>
    <w:rsid w:val="000600F8"/>
    <w:rsid w:val="000625F8"/>
    <w:rsid w:val="00065E59"/>
    <w:rsid w:val="000661F1"/>
    <w:rsid w:val="00070461"/>
    <w:rsid w:val="000732DD"/>
    <w:rsid w:val="000735C6"/>
    <w:rsid w:val="000736D2"/>
    <w:rsid w:val="00075C34"/>
    <w:rsid w:val="00076661"/>
    <w:rsid w:val="000823FB"/>
    <w:rsid w:val="00082B83"/>
    <w:rsid w:val="00085767"/>
    <w:rsid w:val="00085E0C"/>
    <w:rsid w:val="000862C6"/>
    <w:rsid w:val="00086BD2"/>
    <w:rsid w:val="00091223"/>
    <w:rsid w:val="00092E6A"/>
    <w:rsid w:val="00092EDB"/>
    <w:rsid w:val="000A2198"/>
    <w:rsid w:val="000A2E71"/>
    <w:rsid w:val="000A4270"/>
    <w:rsid w:val="000A5A0B"/>
    <w:rsid w:val="000B3B3E"/>
    <w:rsid w:val="000B70D5"/>
    <w:rsid w:val="000C1568"/>
    <w:rsid w:val="000C52D2"/>
    <w:rsid w:val="000C6292"/>
    <w:rsid w:val="000D4F61"/>
    <w:rsid w:val="000D55B8"/>
    <w:rsid w:val="000D560A"/>
    <w:rsid w:val="000D60DF"/>
    <w:rsid w:val="000E240E"/>
    <w:rsid w:val="000E63A8"/>
    <w:rsid w:val="000F091B"/>
    <w:rsid w:val="000F0C3B"/>
    <w:rsid w:val="000F0DEF"/>
    <w:rsid w:val="000F0F5F"/>
    <w:rsid w:val="000F1655"/>
    <w:rsid w:val="000F2B30"/>
    <w:rsid w:val="000F7AEF"/>
    <w:rsid w:val="00101C7D"/>
    <w:rsid w:val="001047DF"/>
    <w:rsid w:val="00104C5F"/>
    <w:rsid w:val="00105D14"/>
    <w:rsid w:val="00111895"/>
    <w:rsid w:val="0011420D"/>
    <w:rsid w:val="001165C9"/>
    <w:rsid w:val="00116EC3"/>
    <w:rsid w:val="001237D8"/>
    <w:rsid w:val="00127264"/>
    <w:rsid w:val="00127481"/>
    <w:rsid w:val="0012763C"/>
    <w:rsid w:val="001307B4"/>
    <w:rsid w:val="00130CDE"/>
    <w:rsid w:val="00130E2B"/>
    <w:rsid w:val="00135B7B"/>
    <w:rsid w:val="00135D81"/>
    <w:rsid w:val="0013694C"/>
    <w:rsid w:val="001427CE"/>
    <w:rsid w:val="00143114"/>
    <w:rsid w:val="001504E1"/>
    <w:rsid w:val="001509AB"/>
    <w:rsid w:val="00150C8A"/>
    <w:rsid w:val="00152DC3"/>
    <w:rsid w:val="0015551E"/>
    <w:rsid w:val="001576C3"/>
    <w:rsid w:val="0016066F"/>
    <w:rsid w:val="001635CF"/>
    <w:rsid w:val="0016537E"/>
    <w:rsid w:val="001712A2"/>
    <w:rsid w:val="00172A82"/>
    <w:rsid w:val="00172DBB"/>
    <w:rsid w:val="00173256"/>
    <w:rsid w:val="001773F6"/>
    <w:rsid w:val="00191AA4"/>
    <w:rsid w:val="00191F4D"/>
    <w:rsid w:val="00195D00"/>
    <w:rsid w:val="001A0A13"/>
    <w:rsid w:val="001A5085"/>
    <w:rsid w:val="001A7CC1"/>
    <w:rsid w:val="001B1D6D"/>
    <w:rsid w:val="001B31F0"/>
    <w:rsid w:val="001B52E4"/>
    <w:rsid w:val="001B7D3D"/>
    <w:rsid w:val="001C1341"/>
    <w:rsid w:val="001C3B4B"/>
    <w:rsid w:val="001C3F7C"/>
    <w:rsid w:val="001C4554"/>
    <w:rsid w:val="001C7027"/>
    <w:rsid w:val="001D21D0"/>
    <w:rsid w:val="001D2747"/>
    <w:rsid w:val="001D3D3E"/>
    <w:rsid w:val="001D4936"/>
    <w:rsid w:val="001D7C74"/>
    <w:rsid w:val="001E2216"/>
    <w:rsid w:val="001E3826"/>
    <w:rsid w:val="001E5403"/>
    <w:rsid w:val="001E60BD"/>
    <w:rsid w:val="001E636B"/>
    <w:rsid w:val="001E64C6"/>
    <w:rsid w:val="001F07A5"/>
    <w:rsid w:val="001F0C4D"/>
    <w:rsid w:val="001F2773"/>
    <w:rsid w:val="001F28C2"/>
    <w:rsid w:val="001F330A"/>
    <w:rsid w:val="002001D8"/>
    <w:rsid w:val="0020034E"/>
    <w:rsid w:val="002109A0"/>
    <w:rsid w:val="002208C6"/>
    <w:rsid w:val="00222029"/>
    <w:rsid w:val="00222E0D"/>
    <w:rsid w:val="002262E7"/>
    <w:rsid w:val="002264FA"/>
    <w:rsid w:val="00226EFC"/>
    <w:rsid w:val="00227015"/>
    <w:rsid w:val="00231505"/>
    <w:rsid w:val="002331F2"/>
    <w:rsid w:val="002355B5"/>
    <w:rsid w:val="0023573F"/>
    <w:rsid w:val="00235B6F"/>
    <w:rsid w:val="00235D75"/>
    <w:rsid w:val="00236E06"/>
    <w:rsid w:val="002442FA"/>
    <w:rsid w:val="00244F62"/>
    <w:rsid w:val="00245CE7"/>
    <w:rsid w:val="00253199"/>
    <w:rsid w:val="0026077C"/>
    <w:rsid w:val="002610BF"/>
    <w:rsid w:val="00262E9D"/>
    <w:rsid w:val="0026453B"/>
    <w:rsid w:val="002668D8"/>
    <w:rsid w:val="00271F88"/>
    <w:rsid w:val="00274BDD"/>
    <w:rsid w:val="002753EB"/>
    <w:rsid w:val="00281AFB"/>
    <w:rsid w:val="00290E96"/>
    <w:rsid w:val="00294CCC"/>
    <w:rsid w:val="002A1467"/>
    <w:rsid w:val="002A4EBA"/>
    <w:rsid w:val="002A70B5"/>
    <w:rsid w:val="002B2875"/>
    <w:rsid w:val="002B56B4"/>
    <w:rsid w:val="002C4C70"/>
    <w:rsid w:val="002C5824"/>
    <w:rsid w:val="002D1722"/>
    <w:rsid w:val="002D2232"/>
    <w:rsid w:val="002D28AC"/>
    <w:rsid w:val="002D5139"/>
    <w:rsid w:val="002D60C0"/>
    <w:rsid w:val="002D6704"/>
    <w:rsid w:val="002D6F14"/>
    <w:rsid w:val="002E3927"/>
    <w:rsid w:val="002F0832"/>
    <w:rsid w:val="002F131F"/>
    <w:rsid w:val="002F2ED1"/>
    <w:rsid w:val="002F34DD"/>
    <w:rsid w:val="002F3EE3"/>
    <w:rsid w:val="002F473C"/>
    <w:rsid w:val="002F6F21"/>
    <w:rsid w:val="00302A4B"/>
    <w:rsid w:val="00303257"/>
    <w:rsid w:val="00304B9E"/>
    <w:rsid w:val="003056E3"/>
    <w:rsid w:val="00305A29"/>
    <w:rsid w:val="00305F4B"/>
    <w:rsid w:val="003104D1"/>
    <w:rsid w:val="0031078D"/>
    <w:rsid w:val="00312292"/>
    <w:rsid w:val="003204D8"/>
    <w:rsid w:val="00321994"/>
    <w:rsid w:val="00321C88"/>
    <w:rsid w:val="0032379D"/>
    <w:rsid w:val="00325888"/>
    <w:rsid w:val="0034078F"/>
    <w:rsid w:val="003411CC"/>
    <w:rsid w:val="00345E03"/>
    <w:rsid w:val="00353D30"/>
    <w:rsid w:val="00357773"/>
    <w:rsid w:val="0036083A"/>
    <w:rsid w:val="00362161"/>
    <w:rsid w:val="00362C04"/>
    <w:rsid w:val="00363FF9"/>
    <w:rsid w:val="00366894"/>
    <w:rsid w:val="00366D3B"/>
    <w:rsid w:val="00373F49"/>
    <w:rsid w:val="00375E61"/>
    <w:rsid w:val="003775A7"/>
    <w:rsid w:val="00381448"/>
    <w:rsid w:val="003818DF"/>
    <w:rsid w:val="0038284D"/>
    <w:rsid w:val="00382DD2"/>
    <w:rsid w:val="003835C9"/>
    <w:rsid w:val="0038642F"/>
    <w:rsid w:val="00394418"/>
    <w:rsid w:val="00396CA9"/>
    <w:rsid w:val="003A22A5"/>
    <w:rsid w:val="003A3AD7"/>
    <w:rsid w:val="003B1B73"/>
    <w:rsid w:val="003B23A9"/>
    <w:rsid w:val="003B5933"/>
    <w:rsid w:val="003B5B64"/>
    <w:rsid w:val="003B706B"/>
    <w:rsid w:val="003C1019"/>
    <w:rsid w:val="003C2551"/>
    <w:rsid w:val="003C426E"/>
    <w:rsid w:val="003C5C63"/>
    <w:rsid w:val="003C5EFB"/>
    <w:rsid w:val="003D4A83"/>
    <w:rsid w:val="003D62F3"/>
    <w:rsid w:val="003E3147"/>
    <w:rsid w:val="003E395D"/>
    <w:rsid w:val="003E540A"/>
    <w:rsid w:val="003E7148"/>
    <w:rsid w:val="003E78A0"/>
    <w:rsid w:val="003F206B"/>
    <w:rsid w:val="003F4DA4"/>
    <w:rsid w:val="003F56F7"/>
    <w:rsid w:val="003F5F8B"/>
    <w:rsid w:val="003F71DA"/>
    <w:rsid w:val="004028FA"/>
    <w:rsid w:val="00404842"/>
    <w:rsid w:val="00406E63"/>
    <w:rsid w:val="00412450"/>
    <w:rsid w:val="00415886"/>
    <w:rsid w:val="004223BE"/>
    <w:rsid w:val="00423C57"/>
    <w:rsid w:val="00433438"/>
    <w:rsid w:val="004367CB"/>
    <w:rsid w:val="004375FC"/>
    <w:rsid w:val="0044059C"/>
    <w:rsid w:val="004406CA"/>
    <w:rsid w:val="00442045"/>
    <w:rsid w:val="004438D6"/>
    <w:rsid w:val="00445194"/>
    <w:rsid w:val="0044570C"/>
    <w:rsid w:val="00446A4C"/>
    <w:rsid w:val="004521D2"/>
    <w:rsid w:val="00453E03"/>
    <w:rsid w:val="0045496A"/>
    <w:rsid w:val="00460A79"/>
    <w:rsid w:val="00464958"/>
    <w:rsid w:val="00467B62"/>
    <w:rsid w:val="00470559"/>
    <w:rsid w:val="00471847"/>
    <w:rsid w:val="00471C95"/>
    <w:rsid w:val="00477C06"/>
    <w:rsid w:val="00480E5F"/>
    <w:rsid w:val="00486BCE"/>
    <w:rsid w:val="004875CB"/>
    <w:rsid w:val="00491224"/>
    <w:rsid w:val="0049211F"/>
    <w:rsid w:val="004929AB"/>
    <w:rsid w:val="00493550"/>
    <w:rsid w:val="004A01CB"/>
    <w:rsid w:val="004A2702"/>
    <w:rsid w:val="004A4958"/>
    <w:rsid w:val="004B5332"/>
    <w:rsid w:val="004B67B4"/>
    <w:rsid w:val="004C0899"/>
    <w:rsid w:val="004C1016"/>
    <w:rsid w:val="004C4272"/>
    <w:rsid w:val="004C429F"/>
    <w:rsid w:val="004C6EEB"/>
    <w:rsid w:val="004D2919"/>
    <w:rsid w:val="004D6E4A"/>
    <w:rsid w:val="004E1DCB"/>
    <w:rsid w:val="004E4056"/>
    <w:rsid w:val="004E5387"/>
    <w:rsid w:val="004E7D2E"/>
    <w:rsid w:val="004F5735"/>
    <w:rsid w:val="004F6D80"/>
    <w:rsid w:val="00501171"/>
    <w:rsid w:val="005032A7"/>
    <w:rsid w:val="00503B0E"/>
    <w:rsid w:val="0050418C"/>
    <w:rsid w:val="0051117C"/>
    <w:rsid w:val="005150FD"/>
    <w:rsid w:val="005152A9"/>
    <w:rsid w:val="00521A76"/>
    <w:rsid w:val="00522581"/>
    <w:rsid w:val="005306D1"/>
    <w:rsid w:val="005329E4"/>
    <w:rsid w:val="00541735"/>
    <w:rsid w:val="00543F0B"/>
    <w:rsid w:val="00545C3A"/>
    <w:rsid w:val="005474CD"/>
    <w:rsid w:val="00547500"/>
    <w:rsid w:val="005521A8"/>
    <w:rsid w:val="00553AB1"/>
    <w:rsid w:val="0055409C"/>
    <w:rsid w:val="00554377"/>
    <w:rsid w:val="0055465B"/>
    <w:rsid w:val="0055516B"/>
    <w:rsid w:val="005579F0"/>
    <w:rsid w:val="0056241F"/>
    <w:rsid w:val="00566A45"/>
    <w:rsid w:val="005670C8"/>
    <w:rsid w:val="00567E68"/>
    <w:rsid w:val="005725CB"/>
    <w:rsid w:val="005745A6"/>
    <w:rsid w:val="00574FEB"/>
    <w:rsid w:val="00576282"/>
    <w:rsid w:val="005841F5"/>
    <w:rsid w:val="005857F2"/>
    <w:rsid w:val="005867AC"/>
    <w:rsid w:val="005901F3"/>
    <w:rsid w:val="0059495F"/>
    <w:rsid w:val="00596F54"/>
    <w:rsid w:val="005A0869"/>
    <w:rsid w:val="005A0F52"/>
    <w:rsid w:val="005B1C59"/>
    <w:rsid w:val="005B1F34"/>
    <w:rsid w:val="005B5330"/>
    <w:rsid w:val="005B6A24"/>
    <w:rsid w:val="005B7AF6"/>
    <w:rsid w:val="005C0FB8"/>
    <w:rsid w:val="005C26AB"/>
    <w:rsid w:val="005C7E08"/>
    <w:rsid w:val="005D2EA5"/>
    <w:rsid w:val="005D398F"/>
    <w:rsid w:val="005D64F6"/>
    <w:rsid w:val="005E2625"/>
    <w:rsid w:val="005E2E30"/>
    <w:rsid w:val="005E41C5"/>
    <w:rsid w:val="005E4610"/>
    <w:rsid w:val="005E604D"/>
    <w:rsid w:val="005E65CA"/>
    <w:rsid w:val="005E78A1"/>
    <w:rsid w:val="005F0FBE"/>
    <w:rsid w:val="005F1A28"/>
    <w:rsid w:val="005F1FAD"/>
    <w:rsid w:val="005F2923"/>
    <w:rsid w:val="006013EA"/>
    <w:rsid w:val="00605212"/>
    <w:rsid w:val="006055C9"/>
    <w:rsid w:val="00607387"/>
    <w:rsid w:val="00607F12"/>
    <w:rsid w:val="006109B1"/>
    <w:rsid w:val="006149C5"/>
    <w:rsid w:val="006151E0"/>
    <w:rsid w:val="006177D8"/>
    <w:rsid w:val="00620FCE"/>
    <w:rsid w:val="0062247C"/>
    <w:rsid w:val="00622F72"/>
    <w:rsid w:val="00627528"/>
    <w:rsid w:val="006278FD"/>
    <w:rsid w:val="00631F71"/>
    <w:rsid w:val="006327B5"/>
    <w:rsid w:val="0063292F"/>
    <w:rsid w:val="00634AAD"/>
    <w:rsid w:val="00636F07"/>
    <w:rsid w:val="006458CC"/>
    <w:rsid w:val="006477E2"/>
    <w:rsid w:val="0065713D"/>
    <w:rsid w:val="00661BEF"/>
    <w:rsid w:val="00661ECB"/>
    <w:rsid w:val="00661FC7"/>
    <w:rsid w:val="00662ECE"/>
    <w:rsid w:val="006663AA"/>
    <w:rsid w:val="0066725F"/>
    <w:rsid w:val="00671BEC"/>
    <w:rsid w:val="00673DEC"/>
    <w:rsid w:val="006763D5"/>
    <w:rsid w:val="00686C64"/>
    <w:rsid w:val="00687E08"/>
    <w:rsid w:val="00692357"/>
    <w:rsid w:val="00693C33"/>
    <w:rsid w:val="00694F98"/>
    <w:rsid w:val="006A5B9D"/>
    <w:rsid w:val="006A7590"/>
    <w:rsid w:val="006B14BA"/>
    <w:rsid w:val="006B62D4"/>
    <w:rsid w:val="006C1BF7"/>
    <w:rsid w:val="006C3EBF"/>
    <w:rsid w:val="006C5629"/>
    <w:rsid w:val="006C7BED"/>
    <w:rsid w:val="006D01D1"/>
    <w:rsid w:val="006D0901"/>
    <w:rsid w:val="006D0B77"/>
    <w:rsid w:val="006D32A1"/>
    <w:rsid w:val="006D3B94"/>
    <w:rsid w:val="006D47CC"/>
    <w:rsid w:val="006D70CF"/>
    <w:rsid w:val="006E3450"/>
    <w:rsid w:val="006E481A"/>
    <w:rsid w:val="006E48BA"/>
    <w:rsid w:val="006E5D45"/>
    <w:rsid w:val="006F0D3C"/>
    <w:rsid w:val="007043E7"/>
    <w:rsid w:val="00704862"/>
    <w:rsid w:val="00705018"/>
    <w:rsid w:val="00706315"/>
    <w:rsid w:val="007126D0"/>
    <w:rsid w:val="00720312"/>
    <w:rsid w:val="007204D8"/>
    <w:rsid w:val="00721D1C"/>
    <w:rsid w:val="00723E32"/>
    <w:rsid w:val="00724CAA"/>
    <w:rsid w:val="007256A0"/>
    <w:rsid w:val="00726EFA"/>
    <w:rsid w:val="00730E9B"/>
    <w:rsid w:val="007312ED"/>
    <w:rsid w:val="007316E5"/>
    <w:rsid w:val="00731A41"/>
    <w:rsid w:val="00733B8B"/>
    <w:rsid w:val="0073560A"/>
    <w:rsid w:val="00736142"/>
    <w:rsid w:val="00742EFD"/>
    <w:rsid w:val="007438CE"/>
    <w:rsid w:val="00745818"/>
    <w:rsid w:val="00747B9C"/>
    <w:rsid w:val="0075066D"/>
    <w:rsid w:val="00752492"/>
    <w:rsid w:val="00757F58"/>
    <w:rsid w:val="00761E5A"/>
    <w:rsid w:val="00761FDA"/>
    <w:rsid w:val="0076300A"/>
    <w:rsid w:val="0077222E"/>
    <w:rsid w:val="00777859"/>
    <w:rsid w:val="007855A4"/>
    <w:rsid w:val="00786B18"/>
    <w:rsid w:val="007879F6"/>
    <w:rsid w:val="00791CBB"/>
    <w:rsid w:val="007923B4"/>
    <w:rsid w:val="00796FE0"/>
    <w:rsid w:val="007A27AA"/>
    <w:rsid w:val="007A2871"/>
    <w:rsid w:val="007C0FA3"/>
    <w:rsid w:val="007C2D5D"/>
    <w:rsid w:val="007C4DDF"/>
    <w:rsid w:val="007C74B6"/>
    <w:rsid w:val="007D43E3"/>
    <w:rsid w:val="007D4AA5"/>
    <w:rsid w:val="007D7D38"/>
    <w:rsid w:val="007E08F0"/>
    <w:rsid w:val="007E3A60"/>
    <w:rsid w:val="007E4E0C"/>
    <w:rsid w:val="007E4F91"/>
    <w:rsid w:val="007E52C5"/>
    <w:rsid w:val="007E55F5"/>
    <w:rsid w:val="007E58B2"/>
    <w:rsid w:val="007F0FE1"/>
    <w:rsid w:val="007F1264"/>
    <w:rsid w:val="007F2C15"/>
    <w:rsid w:val="007F4AA0"/>
    <w:rsid w:val="0080688C"/>
    <w:rsid w:val="00807E2F"/>
    <w:rsid w:val="00811A1B"/>
    <w:rsid w:val="00824708"/>
    <w:rsid w:val="00824B6D"/>
    <w:rsid w:val="0082546B"/>
    <w:rsid w:val="00826C1F"/>
    <w:rsid w:val="00836FA4"/>
    <w:rsid w:val="0084380A"/>
    <w:rsid w:val="00843B52"/>
    <w:rsid w:val="00855DAC"/>
    <w:rsid w:val="008608ED"/>
    <w:rsid w:val="00861EB6"/>
    <w:rsid w:val="008632C5"/>
    <w:rsid w:val="00863EB8"/>
    <w:rsid w:val="0086465B"/>
    <w:rsid w:val="00865256"/>
    <w:rsid w:val="00872C3E"/>
    <w:rsid w:val="00881C04"/>
    <w:rsid w:val="00882FAF"/>
    <w:rsid w:val="00884011"/>
    <w:rsid w:val="008844E8"/>
    <w:rsid w:val="00884AF9"/>
    <w:rsid w:val="00886B06"/>
    <w:rsid w:val="00890C7A"/>
    <w:rsid w:val="0089182B"/>
    <w:rsid w:val="00891E4C"/>
    <w:rsid w:val="008926DF"/>
    <w:rsid w:val="00892A12"/>
    <w:rsid w:val="00893C72"/>
    <w:rsid w:val="00895A27"/>
    <w:rsid w:val="00896A3E"/>
    <w:rsid w:val="00896CEC"/>
    <w:rsid w:val="008A2108"/>
    <w:rsid w:val="008A21D5"/>
    <w:rsid w:val="008A416C"/>
    <w:rsid w:val="008A686E"/>
    <w:rsid w:val="008A77FA"/>
    <w:rsid w:val="008B0057"/>
    <w:rsid w:val="008B22E7"/>
    <w:rsid w:val="008B3036"/>
    <w:rsid w:val="008C1415"/>
    <w:rsid w:val="008C3F39"/>
    <w:rsid w:val="008C538E"/>
    <w:rsid w:val="008D1970"/>
    <w:rsid w:val="008D332B"/>
    <w:rsid w:val="008D4C6C"/>
    <w:rsid w:val="008D6A4F"/>
    <w:rsid w:val="008E05E0"/>
    <w:rsid w:val="008E12E6"/>
    <w:rsid w:val="008E17AE"/>
    <w:rsid w:val="008E39E4"/>
    <w:rsid w:val="008F109F"/>
    <w:rsid w:val="008F467E"/>
    <w:rsid w:val="008F61C0"/>
    <w:rsid w:val="009005C9"/>
    <w:rsid w:val="009035F6"/>
    <w:rsid w:val="00904447"/>
    <w:rsid w:val="00904585"/>
    <w:rsid w:val="00904B1C"/>
    <w:rsid w:val="0091274D"/>
    <w:rsid w:val="009175FA"/>
    <w:rsid w:val="009266D9"/>
    <w:rsid w:val="00930A40"/>
    <w:rsid w:val="00931A4E"/>
    <w:rsid w:val="009335D0"/>
    <w:rsid w:val="00937E6E"/>
    <w:rsid w:val="00940054"/>
    <w:rsid w:val="00940347"/>
    <w:rsid w:val="009407AC"/>
    <w:rsid w:val="00943E5E"/>
    <w:rsid w:val="00943EA7"/>
    <w:rsid w:val="00944194"/>
    <w:rsid w:val="00944EB5"/>
    <w:rsid w:val="00946D4B"/>
    <w:rsid w:val="00947178"/>
    <w:rsid w:val="00957093"/>
    <w:rsid w:val="00960DC5"/>
    <w:rsid w:val="00967ACC"/>
    <w:rsid w:val="00973FDD"/>
    <w:rsid w:val="00975347"/>
    <w:rsid w:val="00975ACB"/>
    <w:rsid w:val="00976F1F"/>
    <w:rsid w:val="009838AE"/>
    <w:rsid w:val="009839E5"/>
    <w:rsid w:val="0098443D"/>
    <w:rsid w:val="00990BA3"/>
    <w:rsid w:val="009917C3"/>
    <w:rsid w:val="0099493A"/>
    <w:rsid w:val="00995099"/>
    <w:rsid w:val="00996721"/>
    <w:rsid w:val="009A15CE"/>
    <w:rsid w:val="009A2634"/>
    <w:rsid w:val="009A2C82"/>
    <w:rsid w:val="009A2EA0"/>
    <w:rsid w:val="009A3347"/>
    <w:rsid w:val="009A52CE"/>
    <w:rsid w:val="009B0FF0"/>
    <w:rsid w:val="009B4033"/>
    <w:rsid w:val="009B4FC2"/>
    <w:rsid w:val="009B7110"/>
    <w:rsid w:val="009C2B40"/>
    <w:rsid w:val="009C50D5"/>
    <w:rsid w:val="009C5FEF"/>
    <w:rsid w:val="009C672F"/>
    <w:rsid w:val="009D734E"/>
    <w:rsid w:val="009E4B74"/>
    <w:rsid w:val="009E4E7A"/>
    <w:rsid w:val="009E633C"/>
    <w:rsid w:val="009E6806"/>
    <w:rsid w:val="009F17CD"/>
    <w:rsid w:val="009F5AF6"/>
    <w:rsid w:val="009F661E"/>
    <w:rsid w:val="009F7113"/>
    <w:rsid w:val="00A00CCE"/>
    <w:rsid w:val="00A040F7"/>
    <w:rsid w:val="00A06871"/>
    <w:rsid w:val="00A10136"/>
    <w:rsid w:val="00A13B60"/>
    <w:rsid w:val="00A15CB8"/>
    <w:rsid w:val="00A16E87"/>
    <w:rsid w:val="00A1723B"/>
    <w:rsid w:val="00A2059C"/>
    <w:rsid w:val="00A21546"/>
    <w:rsid w:val="00A21680"/>
    <w:rsid w:val="00A224E0"/>
    <w:rsid w:val="00A22C6A"/>
    <w:rsid w:val="00A230F6"/>
    <w:rsid w:val="00A378DF"/>
    <w:rsid w:val="00A43699"/>
    <w:rsid w:val="00A47166"/>
    <w:rsid w:val="00A52736"/>
    <w:rsid w:val="00A54C3D"/>
    <w:rsid w:val="00A54EB8"/>
    <w:rsid w:val="00A64F0B"/>
    <w:rsid w:val="00A65CE7"/>
    <w:rsid w:val="00A75ED7"/>
    <w:rsid w:val="00A76865"/>
    <w:rsid w:val="00A77889"/>
    <w:rsid w:val="00A80F89"/>
    <w:rsid w:val="00A81553"/>
    <w:rsid w:val="00A84449"/>
    <w:rsid w:val="00A879DE"/>
    <w:rsid w:val="00A94451"/>
    <w:rsid w:val="00A94C4C"/>
    <w:rsid w:val="00A950B2"/>
    <w:rsid w:val="00A952D0"/>
    <w:rsid w:val="00AA2855"/>
    <w:rsid w:val="00AB1298"/>
    <w:rsid w:val="00AB4A56"/>
    <w:rsid w:val="00AB616A"/>
    <w:rsid w:val="00AB7E6A"/>
    <w:rsid w:val="00AC2F0F"/>
    <w:rsid w:val="00AC4224"/>
    <w:rsid w:val="00AC47E0"/>
    <w:rsid w:val="00AC781B"/>
    <w:rsid w:val="00AD2190"/>
    <w:rsid w:val="00AD5A11"/>
    <w:rsid w:val="00AD6F49"/>
    <w:rsid w:val="00AD7325"/>
    <w:rsid w:val="00AD7855"/>
    <w:rsid w:val="00AE1021"/>
    <w:rsid w:val="00AE1D2F"/>
    <w:rsid w:val="00AE3F03"/>
    <w:rsid w:val="00AE4CBB"/>
    <w:rsid w:val="00AF0694"/>
    <w:rsid w:val="00AF2AAB"/>
    <w:rsid w:val="00AF3C61"/>
    <w:rsid w:val="00AF5CF8"/>
    <w:rsid w:val="00AF7C53"/>
    <w:rsid w:val="00B02538"/>
    <w:rsid w:val="00B04832"/>
    <w:rsid w:val="00B066BE"/>
    <w:rsid w:val="00B06A83"/>
    <w:rsid w:val="00B128ED"/>
    <w:rsid w:val="00B139F5"/>
    <w:rsid w:val="00B13BBB"/>
    <w:rsid w:val="00B16716"/>
    <w:rsid w:val="00B22ABE"/>
    <w:rsid w:val="00B22C2C"/>
    <w:rsid w:val="00B2751C"/>
    <w:rsid w:val="00B27B44"/>
    <w:rsid w:val="00B35217"/>
    <w:rsid w:val="00B352E9"/>
    <w:rsid w:val="00B36ADF"/>
    <w:rsid w:val="00B372DF"/>
    <w:rsid w:val="00B373FC"/>
    <w:rsid w:val="00B452E2"/>
    <w:rsid w:val="00B46881"/>
    <w:rsid w:val="00B54345"/>
    <w:rsid w:val="00B56F21"/>
    <w:rsid w:val="00B61442"/>
    <w:rsid w:val="00B63753"/>
    <w:rsid w:val="00B63979"/>
    <w:rsid w:val="00B673FE"/>
    <w:rsid w:val="00B72896"/>
    <w:rsid w:val="00B75BA9"/>
    <w:rsid w:val="00B80DFA"/>
    <w:rsid w:val="00B84186"/>
    <w:rsid w:val="00B904AB"/>
    <w:rsid w:val="00B91D69"/>
    <w:rsid w:val="00B9400D"/>
    <w:rsid w:val="00B95B17"/>
    <w:rsid w:val="00BA399D"/>
    <w:rsid w:val="00BA423A"/>
    <w:rsid w:val="00BA56C1"/>
    <w:rsid w:val="00BA62CB"/>
    <w:rsid w:val="00BB0EC2"/>
    <w:rsid w:val="00BB519C"/>
    <w:rsid w:val="00BB69AF"/>
    <w:rsid w:val="00BC1C8D"/>
    <w:rsid w:val="00BC7A10"/>
    <w:rsid w:val="00BD0C09"/>
    <w:rsid w:val="00BD0D05"/>
    <w:rsid w:val="00BD0E7F"/>
    <w:rsid w:val="00BD1D7F"/>
    <w:rsid w:val="00BD2E69"/>
    <w:rsid w:val="00BD507D"/>
    <w:rsid w:val="00BD623F"/>
    <w:rsid w:val="00BE202B"/>
    <w:rsid w:val="00BE704B"/>
    <w:rsid w:val="00BF1023"/>
    <w:rsid w:val="00BF4EDC"/>
    <w:rsid w:val="00BF585C"/>
    <w:rsid w:val="00C01AFF"/>
    <w:rsid w:val="00C0206C"/>
    <w:rsid w:val="00C0262B"/>
    <w:rsid w:val="00C029E3"/>
    <w:rsid w:val="00C03696"/>
    <w:rsid w:val="00C0524D"/>
    <w:rsid w:val="00C1264D"/>
    <w:rsid w:val="00C12BEB"/>
    <w:rsid w:val="00C1336B"/>
    <w:rsid w:val="00C13D39"/>
    <w:rsid w:val="00C164BB"/>
    <w:rsid w:val="00C2039E"/>
    <w:rsid w:val="00C20F93"/>
    <w:rsid w:val="00C23719"/>
    <w:rsid w:val="00C23E4A"/>
    <w:rsid w:val="00C33FFA"/>
    <w:rsid w:val="00C353E8"/>
    <w:rsid w:val="00C357BB"/>
    <w:rsid w:val="00C41028"/>
    <w:rsid w:val="00C4122D"/>
    <w:rsid w:val="00C419BF"/>
    <w:rsid w:val="00C41B28"/>
    <w:rsid w:val="00C43458"/>
    <w:rsid w:val="00C4669C"/>
    <w:rsid w:val="00C50585"/>
    <w:rsid w:val="00C505D3"/>
    <w:rsid w:val="00C52284"/>
    <w:rsid w:val="00C5300D"/>
    <w:rsid w:val="00C535D2"/>
    <w:rsid w:val="00C55000"/>
    <w:rsid w:val="00C573C4"/>
    <w:rsid w:val="00C577E5"/>
    <w:rsid w:val="00C600CB"/>
    <w:rsid w:val="00C600DF"/>
    <w:rsid w:val="00C6366B"/>
    <w:rsid w:val="00C66825"/>
    <w:rsid w:val="00C70FC3"/>
    <w:rsid w:val="00C72DB6"/>
    <w:rsid w:val="00C72E5A"/>
    <w:rsid w:val="00C75BCE"/>
    <w:rsid w:val="00C77E0C"/>
    <w:rsid w:val="00C85AFB"/>
    <w:rsid w:val="00C860BE"/>
    <w:rsid w:val="00C8612C"/>
    <w:rsid w:val="00C86B36"/>
    <w:rsid w:val="00C9306F"/>
    <w:rsid w:val="00C9333F"/>
    <w:rsid w:val="00C96662"/>
    <w:rsid w:val="00CA0B9A"/>
    <w:rsid w:val="00CA1BDD"/>
    <w:rsid w:val="00CA1C60"/>
    <w:rsid w:val="00CA35A7"/>
    <w:rsid w:val="00CA5061"/>
    <w:rsid w:val="00CA56D0"/>
    <w:rsid w:val="00CA57BF"/>
    <w:rsid w:val="00CB2D7F"/>
    <w:rsid w:val="00CB2F05"/>
    <w:rsid w:val="00CB4BAA"/>
    <w:rsid w:val="00CB6C0B"/>
    <w:rsid w:val="00CC0C98"/>
    <w:rsid w:val="00CC1501"/>
    <w:rsid w:val="00CC4018"/>
    <w:rsid w:val="00CC48C5"/>
    <w:rsid w:val="00CC58BD"/>
    <w:rsid w:val="00CC58C0"/>
    <w:rsid w:val="00CC6569"/>
    <w:rsid w:val="00CC7077"/>
    <w:rsid w:val="00CC773C"/>
    <w:rsid w:val="00CC7AC3"/>
    <w:rsid w:val="00CD28D9"/>
    <w:rsid w:val="00CD3F30"/>
    <w:rsid w:val="00CD7453"/>
    <w:rsid w:val="00CE0734"/>
    <w:rsid w:val="00CE1066"/>
    <w:rsid w:val="00CE22D8"/>
    <w:rsid w:val="00CE5855"/>
    <w:rsid w:val="00CF1F61"/>
    <w:rsid w:val="00CF3320"/>
    <w:rsid w:val="00CF43F2"/>
    <w:rsid w:val="00CF7E84"/>
    <w:rsid w:val="00D01AE4"/>
    <w:rsid w:val="00D01E2E"/>
    <w:rsid w:val="00D028DA"/>
    <w:rsid w:val="00D04455"/>
    <w:rsid w:val="00D04BBE"/>
    <w:rsid w:val="00D10C23"/>
    <w:rsid w:val="00D124FB"/>
    <w:rsid w:val="00D13964"/>
    <w:rsid w:val="00D14630"/>
    <w:rsid w:val="00D14934"/>
    <w:rsid w:val="00D251E9"/>
    <w:rsid w:val="00D3126D"/>
    <w:rsid w:val="00D3754E"/>
    <w:rsid w:val="00D41D92"/>
    <w:rsid w:val="00D43D12"/>
    <w:rsid w:val="00D4500A"/>
    <w:rsid w:val="00D454E0"/>
    <w:rsid w:val="00D456E5"/>
    <w:rsid w:val="00D46896"/>
    <w:rsid w:val="00D46CF6"/>
    <w:rsid w:val="00D53649"/>
    <w:rsid w:val="00D56032"/>
    <w:rsid w:val="00D61254"/>
    <w:rsid w:val="00D62249"/>
    <w:rsid w:val="00D62584"/>
    <w:rsid w:val="00D64B5B"/>
    <w:rsid w:val="00D72B4B"/>
    <w:rsid w:val="00D74B93"/>
    <w:rsid w:val="00D75EBB"/>
    <w:rsid w:val="00D8256A"/>
    <w:rsid w:val="00D83DF8"/>
    <w:rsid w:val="00D85CBD"/>
    <w:rsid w:val="00D866C2"/>
    <w:rsid w:val="00D874CF"/>
    <w:rsid w:val="00D94640"/>
    <w:rsid w:val="00DA0D25"/>
    <w:rsid w:val="00DA7087"/>
    <w:rsid w:val="00DA7591"/>
    <w:rsid w:val="00DB4A60"/>
    <w:rsid w:val="00DB754E"/>
    <w:rsid w:val="00DC002E"/>
    <w:rsid w:val="00DC0445"/>
    <w:rsid w:val="00DC151C"/>
    <w:rsid w:val="00DC5CC7"/>
    <w:rsid w:val="00DD1290"/>
    <w:rsid w:val="00DD222D"/>
    <w:rsid w:val="00DD610C"/>
    <w:rsid w:val="00DD7EF5"/>
    <w:rsid w:val="00DE3E6F"/>
    <w:rsid w:val="00DE4E8D"/>
    <w:rsid w:val="00DE51CE"/>
    <w:rsid w:val="00E00759"/>
    <w:rsid w:val="00E0141B"/>
    <w:rsid w:val="00E03E4B"/>
    <w:rsid w:val="00E06806"/>
    <w:rsid w:val="00E070E6"/>
    <w:rsid w:val="00E07EC5"/>
    <w:rsid w:val="00E10389"/>
    <w:rsid w:val="00E1485B"/>
    <w:rsid w:val="00E22C2D"/>
    <w:rsid w:val="00E26F42"/>
    <w:rsid w:val="00E27029"/>
    <w:rsid w:val="00E30570"/>
    <w:rsid w:val="00E33861"/>
    <w:rsid w:val="00E3468F"/>
    <w:rsid w:val="00E36DE5"/>
    <w:rsid w:val="00E42477"/>
    <w:rsid w:val="00E43B6C"/>
    <w:rsid w:val="00E44457"/>
    <w:rsid w:val="00E452D9"/>
    <w:rsid w:val="00E45405"/>
    <w:rsid w:val="00E46DA5"/>
    <w:rsid w:val="00E50BE1"/>
    <w:rsid w:val="00E51243"/>
    <w:rsid w:val="00E51273"/>
    <w:rsid w:val="00E51ECD"/>
    <w:rsid w:val="00E53CCE"/>
    <w:rsid w:val="00E624F2"/>
    <w:rsid w:val="00E632D8"/>
    <w:rsid w:val="00E648B7"/>
    <w:rsid w:val="00E64C9A"/>
    <w:rsid w:val="00E64FC6"/>
    <w:rsid w:val="00E70159"/>
    <w:rsid w:val="00E71052"/>
    <w:rsid w:val="00E72AC9"/>
    <w:rsid w:val="00E86FD5"/>
    <w:rsid w:val="00E87209"/>
    <w:rsid w:val="00E90510"/>
    <w:rsid w:val="00E90D5C"/>
    <w:rsid w:val="00EA0BE5"/>
    <w:rsid w:val="00EA1DFA"/>
    <w:rsid w:val="00EA6AE1"/>
    <w:rsid w:val="00EB1525"/>
    <w:rsid w:val="00EB6178"/>
    <w:rsid w:val="00EC153D"/>
    <w:rsid w:val="00EC3263"/>
    <w:rsid w:val="00EC453D"/>
    <w:rsid w:val="00EC5A65"/>
    <w:rsid w:val="00ED0BE4"/>
    <w:rsid w:val="00ED25CC"/>
    <w:rsid w:val="00ED2AD5"/>
    <w:rsid w:val="00ED406B"/>
    <w:rsid w:val="00ED6ABA"/>
    <w:rsid w:val="00EE2FF5"/>
    <w:rsid w:val="00EE35A4"/>
    <w:rsid w:val="00EF54C0"/>
    <w:rsid w:val="00EF7B89"/>
    <w:rsid w:val="00F00491"/>
    <w:rsid w:val="00F04D2C"/>
    <w:rsid w:val="00F058E8"/>
    <w:rsid w:val="00F152EA"/>
    <w:rsid w:val="00F15EF6"/>
    <w:rsid w:val="00F23620"/>
    <w:rsid w:val="00F24FCD"/>
    <w:rsid w:val="00F279F5"/>
    <w:rsid w:val="00F27CAF"/>
    <w:rsid w:val="00F309C4"/>
    <w:rsid w:val="00F3106A"/>
    <w:rsid w:val="00F343C9"/>
    <w:rsid w:val="00F364D5"/>
    <w:rsid w:val="00F41E44"/>
    <w:rsid w:val="00F4224E"/>
    <w:rsid w:val="00F611E5"/>
    <w:rsid w:val="00F63562"/>
    <w:rsid w:val="00F6450D"/>
    <w:rsid w:val="00F663EE"/>
    <w:rsid w:val="00F66B4C"/>
    <w:rsid w:val="00F67D2A"/>
    <w:rsid w:val="00F758AE"/>
    <w:rsid w:val="00F7772E"/>
    <w:rsid w:val="00F77DD5"/>
    <w:rsid w:val="00F808B2"/>
    <w:rsid w:val="00F82C91"/>
    <w:rsid w:val="00F85B02"/>
    <w:rsid w:val="00F85B5D"/>
    <w:rsid w:val="00F86330"/>
    <w:rsid w:val="00F87228"/>
    <w:rsid w:val="00F93C0D"/>
    <w:rsid w:val="00F977E3"/>
    <w:rsid w:val="00FA1666"/>
    <w:rsid w:val="00FA42EC"/>
    <w:rsid w:val="00FA4E86"/>
    <w:rsid w:val="00FA6A58"/>
    <w:rsid w:val="00FA6D01"/>
    <w:rsid w:val="00FA7FBE"/>
    <w:rsid w:val="00FB0BDD"/>
    <w:rsid w:val="00FB2C8F"/>
    <w:rsid w:val="00FC0A14"/>
    <w:rsid w:val="00FC16FE"/>
    <w:rsid w:val="00FC17C0"/>
    <w:rsid w:val="00FC27CE"/>
    <w:rsid w:val="00FC3903"/>
    <w:rsid w:val="00FD3652"/>
    <w:rsid w:val="00FD4F3D"/>
    <w:rsid w:val="00FD6FFF"/>
    <w:rsid w:val="00FE4E4F"/>
    <w:rsid w:val="00FE7976"/>
    <w:rsid w:val="00FF7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4753" style="mso-position-horizontal-relative:page;mso-position-vertical-relative:page" fillcolor="black" stroke="f">
      <v:fill color="black" color2="black"/>
      <v:stroke weight="0" on="f"/>
    </o:shapedefaults>
    <o:shapelayout v:ext="edit">
      <o:idmap v:ext="edit" data="1"/>
    </o:shapelayout>
  </w:shapeDefaults>
  <w:decimalSymbol w:val="."/>
  <w:listSeparator w:val=","/>
  <w14:docId w14:val="5948D227"/>
  <w15:docId w15:val="{573C7624-7F30-40AC-B426-8848D1A7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CB"/>
    <w:rPr>
      <w:rFonts w:ascii="Charter BT" w:hAnsi="Charter BT" w:cs="Charter BT"/>
      <w:color w:val="000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B3036"/>
    <w:rPr>
      <w:sz w:val="20"/>
      <w:szCs w:val="20"/>
    </w:rPr>
  </w:style>
  <w:style w:type="character" w:styleId="FootnoteReference">
    <w:name w:val="footnote reference"/>
    <w:basedOn w:val="DefaultParagraphFont"/>
    <w:uiPriority w:val="99"/>
    <w:semiHidden/>
    <w:rsid w:val="008B3036"/>
    <w:rPr>
      <w:vertAlign w:val="superscript"/>
    </w:rPr>
  </w:style>
  <w:style w:type="paragraph" w:styleId="EndnoteText">
    <w:name w:val="endnote text"/>
    <w:basedOn w:val="Normal"/>
    <w:link w:val="EndnoteTextChar"/>
    <w:rsid w:val="001B7D3D"/>
    <w:rPr>
      <w:sz w:val="20"/>
      <w:szCs w:val="20"/>
    </w:rPr>
  </w:style>
  <w:style w:type="character" w:customStyle="1" w:styleId="EndnoteTextChar">
    <w:name w:val="Endnote Text Char"/>
    <w:basedOn w:val="DefaultParagraphFont"/>
    <w:link w:val="EndnoteText"/>
    <w:rsid w:val="000F0C3B"/>
    <w:rPr>
      <w:rFonts w:ascii="Charter BT" w:hAnsi="Charter BT" w:cs="Charter BT"/>
      <w:color w:val="000080"/>
      <w:lang w:val="en-US" w:eastAsia="en-US" w:bidi="ar-SA"/>
    </w:rPr>
  </w:style>
  <w:style w:type="character" w:customStyle="1" w:styleId="BdBT">
    <w:name w:val="Bd BT"/>
    <w:basedOn w:val="DefaultParagraphFont"/>
    <w:rsid w:val="000F0C3B"/>
    <w:rPr>
      <w:rFonts w:ascii="Charter Bd BT" w:hAnsi="Charter Bd BT"/>
      <w:sz w:val="21"/>
      <w:szCs w:val="90"/>
    </w:rPr>
  </w:style>
  <w:style w:type="paragraph" w:customStyle="1" w:styleId="StyleStyle4BoldCharCharCharCharCharCharCharCharCharCharCharCharCharCharCharCharCharCharCharCharCharCharCharCharCharCharCharCharCharCharCharCharCharCharCharCharCharCharCharCharCharCharCharCharCharChChar1">
    <w:name w:val="Style Style4 + Bold Char Char Char Char Char Char Char Char Char Char Char Char Char Char Char Char Char Char Char Char Char Char Char Char Char Char Char Char Char Char Char Char Char Char Char Char Char Char Char Char Char Char Char Char Char Ch Char1"/>
    <w:basedOn w:val="Normal"/>
    <w:link w:val="StyleStyle4BoldCharCharCharCharCharCharCharCharCharCharCharCharCharCharCharCharCharCharCharCharCharCharCharCharCharCharCharCharCharCharCharCharCharCharCharCharCharCharCharCharCharCharCharCharCharChChar"/>
    <w:semiHidden/>
    <w:rsid w:val="009E6806"/>
    <w:pPr>
      <w:spacing w:after="60"/>
      <w:ind w:left="1080"/>
    </w:pPr>
    <w:rPr>
      <w:rFonts w:ascii="Charter Bd BT" w:hAnsi="Charter Bd BT"/>
      <w:bCs/>
      <w:kern w:val="22"/>
      <w:sz w:val="21"/>
    </w:rPr>
  </w:style>
  <w:style w:type="character" w:customStyle="1" w:styleId="StyleStyle4BoldCharCharCharCharCharCharCharCharCharCharCharCharCharCharCharCharCharCharCharCharCharCharCharCharCharCharCharCharCharCharCharCharCharCharCharCharCharCharCharCharCharCharCharCharCharChChar">
    <w:name w:val="Style Style4 + Bold Char Char Char Char Char Char Char Char Char Char Char Char Char Char Char Char Char Char Char Char Char Char Char Char Char Char Char Char Char Char Char Char Char Char Char Char Char Char Char Char Char Char Char Char Char Ch  Char"/>
    <w:basedOn w:val="DefaultParagraphFont"/>
    <w:link w:val="StyleStyle4BoldCharCharCharCharCharCharCharCharCharCharCharCharCharCharCharCharCharCharCharCharCharCharCharCharCharCharCharCharCharCharCharCharCharCharCharCharCharCharCharCharCharCharCharCharCharChChar1"/>
    <w:rsid w:val="009E6806"/>
    <w:rPr>
      <w:rFonts w:ascii="Charter Bd BT" w:hAnsi="Charter Bd BT" w:cs="Charter BT"/>
      <w:bCs/>
      <w:color w:val="000080"/>
      <w:kern w:val="22"/>
      <w:sz w:val="21"/>
      <w:szCs w:val="22"/>
      <w:lang w:val="en-US" w:eastAsia="en-US" w:bidi="ar-SA"/>
    </w:rPr>
  </w:style>
  <w:style w:type="paragraph" w:customStyle="1" w:styleId="BodyCopy">
    <w:name w:val="Body Copy"/>
    <w:link w:val="BodyCopyChar"/>
    <w:rsid w:val="00F611E5"/>
    <w:pPr>
      <w:autoSpaceDE w:val="0"/>
      <w:autoSpaceDN w:val="0"/>
      <w:adjustRightInd w:val="0"/>
      <w:ind w:firstLine="216"/>
      <w:jc w:val="both"/>
    </w:pPr>
    <w:rPr>
      <w:rFonts w:ascii="Charter BT" w:hAnsi="Charter BT" w:cs="Charter BT"/>
      <w:color w:val="000000"/>
      <w:sz w:val="22"/>
      <w:szCs w:val="22"/>
    </w:rPr>
  </w:style>
  <w:style w:type="character" w:customStyle="1" w:styleId="BodyCopyChar">
    <w:name w:val="Body Copy Char"/>
    <w:basedOn w:val="DefaultParagraphFont"/>
    <w:link w:val="BodyCopy"/>
    <w:rsid w:val="005E2E30"/>
    <w:rPr>
      <w:rFonts w:ascii="Charter BT" w:hAnsi="Charter BT" w:cs="Charter BT"/>
      <w:color w:val="000000"/>
      <w:sz w:val="22"/>
      <w:szCs w:val="22"/>
      <w:lang w:val="en-US" w:eastAsia="en-US" w:bidi="ar-SA"/>
    </w:rPr>
  </w:style>
  <w:style w:type="paragraph" w:styleId="Header">
    <w:name w:val="header"/>
    <w:basedOn w:val="Normal"/>
    <w:rsid w:val="00662ECE"/>
    <w:pPr>
      <w:tabs>
        <w:tab w:val="center" w:pos="4320"/>
        <w:tab w:val="right" w:pos="8640"/>
      </w:tabs>
    </w:pPr>
  </w:style>
  <w:style w:type="paragraph" w:styleId="Footer">
    <w:name w:val="footer"/>
    <w:basedOn w:val="Normal"/>
    <w:rsid w:val="00070461"/>
    <w:pPr>
      <w:tabs>
        <w:tab w:val="center" w:pos="4320"/>
        <w:tab w:val="right" w:pos="8640"/>
      </w:tabs>
    </w:pPr>
  </w:style>
  <w:style w:type="character" w:customStyle="1" w:styleId="FootnoteTextChar">
    <w:name w:val="Footnote Text Char"/>
    <w:basedOn w:val="DefaultParagraphFont"/>
    <w:link w:val="FootnoteText"/>
    <w:rsid w:val="005579F0"/>
    <w:rPr>
      <w:rFonts w:ascii="Charter BT" w:hAnsi="Charter BT" w:cs="Charter BT"/>
      <w:color w:val="000080"/>
    </w:rPr>
  </w:style>
  <w:style w:type="character" w:customStyle="1" w:styleId="EndItalics">
    <w:name w:val="End: Italics"/>
    <w:rsid w:val="005579F0"/>
    <w:rPr>
      <w:rFonts w:ascii="Charter BT" w:hAnsi="Charter BT"/>
      <w:i/>
      <w:sz w:val="17"/>
    </w:rPr>
  </w:style>
  <w:style w:type="character" w:customStyle="1" w:styleId="CSBold">
    <w:name w:val="CS: Bold"/>
    <w:qFormat/>
    <w:rsid w:val="005579F0"/>
    <w:rPr>
      <w:rFonts w:ascii="Charter Bd BT" w:hAnsi="Charter Bd BT"/>
      <w:sz w:val="21"/>
      <w:szCs w:val="90"/>
    </w:rPr>
  </w:style>
  <w:style w:type="character" w:customStyle="1" w:styleId="EndTextbold">
    <w:name w:val="End: Text bold"/>
    <w:qFormat/>
    <w:rsid w:val="008926DF"/>
    <w:rPr>
      <w:rFonts w:ascii="Charter Bd BT" w:hAnsi="Charter Bd BT"/>
      <w:sz w:val="17"/>
    </w:rPr>
  </w:style>
  <w:style w:type="character" w:customStyle="1" w:styleId="EndBold">
    <w:name w:val="End: Bold"/>
    <w:rsid w:val="008926DF"/>
    <w:rPr>
      <w:rFonts w:ascii="Charter Bd BT" w:hAnsi="Charter Bd BT"/>
      <w:sz w:val="20"/>
    </w:rPr>
  </w:style>
  <w:style w:type="paragraph" w:customStyle="1" w:styleId="S2">
    <w:name w:val="S: 2"/>
    <w:link w:val="S2CharChar"/>
    <w:rsid w:val="00A94C4C"/>
    <w:pPr>
      <w:spacing w:after="40"/>
      <w:ind w:left="360"/>
    </w:pPr>
    <w:rPr>
      <w:rFonts w:ascii="Charter BT" w:eastAsia="MS Mincho" w:hAnsi="Charter BT"/>
      <w:kern w:val="22"/>
      <w:sz w:val="21"/>
      <w:szCs w:val="21"/>
    </w:rPr>
  </w:style>
  <w:style w:type="character" w:customStyle="1" w:styleId="S2CharChar">
    <w:name w:val="S: 2 Char Char"/>
    <w:link w:val="S2"/>
    <w:rsid w:val="00A94C4C"/>
    <w:rPr>
      <w:rFonts w:ascii="Charter BT" w:eastAsia="MS Mincho" w:hAnsi="Charter BT"/>
      <w:kern w:val="22"/>
      <w:sz w:val="21"/>
      <w:szCs w:val="21"/>
    </w:rPr>
  </w:style>
  <w:style w:type="character" w:styleId="EndnoteReference">
    <w:name w:val="endnote reference"/>
    <w:uiPriority w:val="99"/>
    <w:rsid w:val="00A94C4C"/>
    <w:rPr>
      <w:rFonts w:ascii="Charter BT" w:hAnsi="Charter BT"/>
      <w:dstrike w:val="0"/>
      <w:color w:val="auto"/>
      <w:sz w:val="20"/>
      <w:szCs w:val="20"/>
      <w:u w:val="none"/>
      <w:bdr w:val="none" w:sz="0" w:space="0" w:color="auto"/>
      <w:vertAlign w:val="superscript"/>
    </w:rPr>
  </w:style>
  <w:style w:type="character" w:customStyle="1" w:styleId="costarpage">
    <w:name w:val="co_starpage"/>
    <w:basedOn w:val="DefaultParagraphFont"/>
    <w:rsid w:val="002D6704"/>
  </w:style>
  <w:style w:type="character" w:styleId="Hyperlink">
    <w:name w:val="Hyperlink"/>
    <w:basedOn w:val="DefaultParagraphFont"/>
    <w:uiPriority w:val="99"/>
    <w:semiHidden/>
    <w:unhideWhenUsed/>
    <w:rsid w:val="00D14934"/>
    <w:rPr>
      <w:color w:val="0000FF"/>
      <w:u w:val="single"/>
    </w:rPr>
  </w:style>
  <w:style w:type="paragraph" w:styleId="BalloonText">
    <w:name w:val="Balloon Text"/>
    <w:basedOn w:val="Normal"/>
    <w:link w:val="BalloonTextChar"/>
    <w:semiHidden/>
    <w:unhideWhenUsed/>
    <w:rsid w:val="00975347"/>
    <w:rPr>
      <w:rFonts w:ascii="Segoe UI" w:hAnsi="Segoe UI" w:cs="Segoe UI"/>
      <w:sz w:val="18"/>
      <w:szCs w:val="18"/>
    </w:rPr>
  </w:style>
  <w:style w:type="character" w:customStyle="1" w:styleId="BalloonTextChar">
    <w:name w:val="Balloon Text Char"/>
    <w:basedOn w:val="DefaultParagraphFont"/>
    <w:link w:val="BalloonText"/>
    <w:semiHidden/>
    <w:rsid w:val="00975347"/>
    <w:rPr>
      <w:rFonts w:ascii="Segoe UI" w:hAnsi="Segoe UI" w:cs="Segoe UI"/>
      <w:color w:val="000080"/>
      <w:sz w:val="18"/>
      <w:szCs w:val="18"/>
    </w:rPr>
  </w:style>
  <w:style w:type="character" w:styleId="Emphasis">
    <w:name w:val="Emphasis"/>
    <w:basedOn w:val="DefaultParagraphFont"/>
    <w:uiPriority w:val="20"/>
    <w:qFormat/>
    <w:rsid w:val="00E43B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06462">
      <w:bodyDiv w:val="1"/>
      <w:marLeft w:val="0"/>
      <w:marRight w:val="0"/>
      <w:marTop w:val="0"/>
      <w:marBottom w:val="0"/>
      <w:divBdr>
        <w:top w:val="none" w:sz="0" w:space="0" w:color="auto"/>
        <w:left w:val="none" w:sz="0" w:space="0" w:color="auto"/>
        <w:bottom w:val="none" w:sz="0" w:space="0" w:color="auto"/>
        <w:right w:val="none" w:sz="0" w:space="0" w:color="auto"/>
      </w:divBdr>
    </w:div>
    <w:div w:id="1314138878">
      <w:bodyDiv w:val="1"/>
      <w:marLeft w:val="0"/>
      <w:marRight w:val="0"/>
      <w:marTop w:val="0"/>
      <w:marBottom w:val="0"/>
      <w:divBdr>
        <w:top w:val="none" w:sz="0" w:space="0" w:color="auto"/>
        <w:left w:val="none" w:sz="0" w:space="0" w:color="auto"/>
        <w:bottom w:val="none" w:sz="0" w:space="0" w:color="auto"/>
        <w:right w:val="none" w:sz="0" w:space="0" w:color="auto"/>
      </w:divBdr>
    </w:div>
    <w:div w:id="149719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C980E6DAC7240B01CF16D6AEF6746" ma:contentTypeVersion="7" ma:contentTypeDescription="Create a new document." ma:contentTypeScope="" ma:versionID="7250f4c1f649b7219724bb50926eed65">
  <xsd:schema xmlns:xsd="http://www.w3.org/2001/XMLSchema" xmlns:xs="http://www.w3.org/2001/XMLSchema" xmlns:p="http://schemas.microsoft.com/office/2006/metadata/properties" xmlns:ns3="782849b4-94e8-42ad-90ee-9fe776e51e7a" xmlns:ns4="a785ad58-1d57-4f8a-aa71-77170459bd0d" targetNamespace="http://schemas.microsoft.com/office/2006/metadata/properties" ma:root="true" ma:fieldsID="5fe280d37d66123d4fe7526cfb17b1e4" ns3:_="" ns4:_="">
    <xsd:import namespace="782849b4-94e8-42ad-90ee-9fe776e51e7a"/>
    <xsd:import namespace="a785ad58-1d57-4f8a-aa71-77170459bd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849b4-94e8-42ad-90ee-9fe776e51e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14"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EB173-785E-4058-8FBA-9BA4A62650A5}">
  <ds:schemaRefs>
    <ds:schemaRef ds:uri="http://www.w3.org/XML/1998/namespace"/>
    <ds:schemaRef ds:uri="http://schemas.microsoft.com/office/2006/documentManagement/types"/>
    <ds:schemaRef ds:uri="a785ad58-1d57-4f8a-aa71-77170459bd0d"/>
    <ds:schemaRef ds:uri="http://schemas.microsoft.com/office/2006/metadata/properties"/>
    <ds:schemaRef ds:uri="782849b4-94e8-42ad-90ee-9fe776e51e7a"/>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48E5021-504D-4555-8045-374E221D20C1}">
  <ds:schemaRefs>
    <ds:schemaRef ds:uri="http://schemas.microsoft.com/sharepoint/v3/contenttype/forms"/>
  </ds:schemaRefs>
</ds:datastoreItem>
</file>

<file path=customXml/itemProps3.xml><?xml version="1.0" encoding="utf-8"?>
<ds:datastoreItem xmlns:ds="http://schemas.openxmlformats.org/officeDocument/2006/customXml" ds:itemID="{9D29778A-45BA-4F2C-B5C6-B2C855BD5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849b4-94e8-42ad-90ee-9fe776e51e7a"/>
    <ds:schemaRef ds:uri="a785ad58-1d57-4f8a-aa71-77170459b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CD999-DA40-45F0-B3EC-05DC96C3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1437</Words>
  <Characters>7400</Characters>
  <Application>Microsoft Office Word</Application>
  <DocSecurity>0</DocSecurity>
  <Lines>117</Lines>
  <Paragraphs>27</Paragraphs>
  <ScaleCrop>false</ScaleCrop>
  <HeadingPairs>
    <vt:vector size="2" baseType="variant">
      <vt:variant>
        <vt:lpstr>Title</vt:lpstr>
      </vt:variant>
      <vt:variant>
        <vt:i4>1</vt:i4>
      </vt:variant>
    </vt:vector>
  </HeadingPairs>
  <TitlesOfParts>
    <vt:vector size="1" baseType="lpstr">
      <vt:lpstr>Detentions Based on 911 Calls</vt:lpstr>
    </vt:vector>
  </TitlesOfParts>
  <Company>Alameda County</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Detentions Based on 911 Calls</dc:title>
  <dc:creator>District Attorney</dc:creator>
  <cp:lastModifiedBy>Hutchins, Mark, DA</cp:lastModifiedBy>
  <cp:revision>3</cp:revision>
  <cp:lastPrinted>2021-08-16T19:52:00Z</cp:lastPrinted>
  <dcterms:created xsi:type="dcterms:W3CDTF">2021-08-17T15:48:00Z</dcterms:created>
  <dcterms:modified xsi:type="dcterms:W3CDTF">2021-08-17T15:52:00Z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0x0101005F6C980E6DAC7240B01CF16D6AEF6746</vt:lpwstr>
  </property>
</Properties>
</file>